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0F2A1" w14:textId="77777777" w:rsidR="004A5180" w:rsidRDefault="004A5180" w:rsidP="004A5180">
      <w:pPr>
        <w:spacing w:line="240" w:lineRule="auto"/>
        <w:jc w:val="both"/>
        <w:rPr>
          <w:rFonts w:ascii="Arial" w:hAnsi="Arial" w:cs="Arial"/>
          <w:b/>
          <w:sz w:val="18"/>
          <w:szCs w:val="18"/>
          <w:u w:val="single"/>
          <w:lang w:eastAsia="en-MY"/>
        </w:rPr>
      </w:pPr>
    </w:p>
    <w:p w14:paraId="0DF47271" w14:textId="52D58FB8" w:rsidR="004A5180" w:rsidRDefault="004A5180" w:rsidP="004A5180">
      <w:pPr>
        <w:spacing w:line="240" w:lineRule="auto"/>
        <w:jc w:val="both"/>
        <w:rPr>
          <w:rFonts w:ascii="Arial" w:hAnsi="Arial" w:cs="Arial"/>
          <w:b/>
          <w:sz w:val="18"/>
          <w:szCs w:val="18"/>
          <w:u w:val="single"/>
          <w:lang w:eastAsia="en-MY"/>
        </w:rPr>
      </w:pPr>
      <w:r>
        <w:rPr>
          <w:rFonts w:ascii="Arial" w:hAnsi="Arial" w:cs="Arial"/>
          <w:b/>
          <w:noProof/>
          <w:sz w:val="18"/>
          <w:szCs w:val="18"/>
          <w:u w:val="single"/>
          <w:lang w:eastAsia="en-MY"/>
        </w:rPr>
        <w:drawing>
          <wp:inline distT="0" distB="0" distL="0" distR="0" wp14:anchorId="61A52DE3" wp14:editId="4E70A778">
            <wp:extent cx="6749497" cy="294121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91056" cy="2959321"/>
                    </a:xfrm>
                    <a:prstGeom prst="rect">
                      <a:avLst/>
                    </a:prstGeom>
                    <a:noFill/>
                  </pic:spPr>
                </pic:pic>
              </a:graphicData>
            </a:graphic>
          </wp:inline>
        </w:drawing>
      </w:r>
    </w:p>
    <w:p w14:paraId="57F3F299" w14:textId="77777777" w:rsidR="004A5180" w:rsidRDefault="004A5180" w:rsidP="004A5180">
      <w:pPr>
        <w:spacing w:line="240" w:lineRule="auto"/>
        <w:jc w:val="both"/>
        <w:rPr>
          <w:rFonts w:ascii="Arial" w:hAnsi="Arial" w:cs="Arial"/>
          <w:b/>
          <w:sz w:val="18"/>
          <w:szCs w:val="18"/>
          <w:u w:val="single"/>
          <w:lang w:eastAsia="en-MY"/>
        </w:rPr>
      </w:pPr>
    </w:p>
    <w:p w14:paraId="56AEA037" w14:textId="75D71956" w:rsidR="004A5180" w:rsidRPr="008E678C" w:rsidRDefault="004A5180" w:rsidP="004A5180">
      <w:pPr>
        <w:spacing w:line="240" w:lineRule="auto"/>
        <w:jc w:val="both"/>
        <w:rPr>
          <w:rFonts w:ascii="Arial" w:hAnsi="Arial" w:cs="Arial"/>
          <w:b/>
          <w:sz w:val="18"/>
          <w:szCs w:val="18"/>
          <w:u w:val="single"/>
          <w:lang w:eastAsia="en-MY"/>
        </w:rPr>
      </w:pPr>
      <w:r w:rsidRPr="008E678C">
        <w:rPr>
          <w:rFonts w:ascii="Arial" w:hAnsi="Arial" w:cs="Arial"/>
          <w:b/>
          <w:sz w:val="18"/>
          <w:szCs w:val="18"/>
          <w:u w:val="single"/>
          <w:lang w:eastAsia="en-MY"/>
        </w:rPr>
        <w:t>Market Outlook Ex-Japan</w:t>
      </w:r>
    </w:p>
    <w:p w14:paraId="0445344D"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Global equity markets experienced heightened volatility in July 2026, led by a sharp correction in AI-related stocks. Major AI-exposed indices, including the PHLX Semiconductor Index, South Korea's KOSPI, China's ChiNext Index, and the STAR50 Index, declined between 21% and 29% during the month as investors took profit following the sector's strong rally. The correction reflected growing concerns over stretched valuations, crowded positioning, and the sustainability of elevated AI-related capital expenditure. Intensifying competition within the AI industry further weighed on sentiment after Chinese AI company Moonshot AI introduced its Kimi K3 model, which offers performance comparable to leading models from OpenAI and Anthropic at a substantially lower cost. Meanwhile, renewed geopolitical tensions between the United States and Iran pushed oil prices higher, renewing concerns over inflation and the prospect of interest rates remaining elevated for longer. The World Index gained 0.46% in July, while the MSCI Far East Ex. Japan index retraced 4.18%. Within the Asia region, ASEAN equities gained 6.71%. The best performing indices were Hang Seng China-Affiliated Corporations Index (+14.27%) and Hang Seng China Enterprises Index (+13.94%) markets. Regional currencies mostly strengthened against the USD. The best performing currencies were Korean Won (+7.60%) and Japanese Yen (+3.27%), while the weaker ones were New Taiwan Dollar (-1.42%) and Indian Rupee (-0.77%). </w:t>
      </w:r>
    </w:p>
    <w:p w14:paraId="6DF42B09"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For the month, Dow Jones Industrial Average (DJIA) edged up 0.32%, while S&amp;P 500 Index and Nasdaq Composite declined 0.13% and 3.20% respectively. U.S. equity markets declined as investor sentiment weakened following a broad-based sell-off in semiconductor stocks on growing concerns over whether elevated AI-related capital expenditure can continue to deliver sufficient earnings growth to justify current valuations. At the same time, expectations that interest rates may remain higher for longer weighed on high-growth technology stocks. US inflation showed clear signs of cooling in June, with the headline Personal Consumption Expenditures (PCE) price index easing to +3.7% YoY (down from +4.1% YoY in May). Meanwhile, the core PCE price index, the Fed’s preferred gauge of inflation, rose by 3.3% YoY in June (May: +3.4% YoY). In addition, according to the Bureau of Economic Analysis’ advance estimate, US GDP growth slowed to an annualized +1.5% </w:t>
      </w:r>
      <w:proofErr w:type="spellStart"/>
      <w:r w:rsidRPr="008E678C">
        <w:rPr>
          <w:rFonts w:ascii="Arial" w:hAnsi="Arial" w:cs="Arial"/>
          <w:sz w:val="18"/>
          <w:szCs w:val="18"/>
          <w:lang w:eastAsia="en-MY"/>
        </w:rPr>
        <w:t>QoQ</w:t>
      </w:r>
      <w:proofErr w:type="spellEnd"/>
      <w:r w:rsidRPr="008E678C">
        <w:rPr>
          <w:rFonts w:ascii="Arial" w:hAnsi="Arial" w:cs="Arial"/>
          <w:sz w:val="18"/>
          <w:szCs w:val="18"/>
          <w:lang w:eastAsia="en-MY"/>
        </w:rPr>
        <w:t xml:space="preserve"> in 2Q26 (below the +2.1% </w:t>
      </w:r>
      <w:proofErr w:type="spellStart"/>
      <w:r w:rsidRPr="008E678C">
        <w:rPr>
          <w:rFonts w:ascii="Arial" w:hAnsi="Arial" w:cs="Arial"/>
          <w:sz w:val="18"/>
          <w:szCs w:val="18"/>
          <w:lang w:eastAsia="en-MY"/>
        </w:rPr>
        <w:t>QoQ</w:t>
      </w:r>
      <w:proofErr w:type="spellEnd"/>
      <w:r w:rsidRPr="008E678C">
        <w:rPr>
          <w:rFonts w:ascii="Arial" w:hAnsi="Arial" w:cs="Arial"/>
          <w:sz w:val="18"/>
          <w:szCs w:val="18"/>
          <w:lang w:eastAsia="en-MY"/>
        </w:rPr>
        <w:t xml:space="preserve"> expected by the market consensus), dragged down by a slower export growth (dropping to a 4.5% annualized gain compared to a 10.9% increase in the first quarter) and strong imports increasing at an annualized rate of 11.5% in the 2Q26 compared to 11.8% in 1Q26. While softer June PCE data validates the Fed’s decision to hold rates at 3.50–3.75% at the recent FOMC meeting, annual headline PCE (+3.7% YoY) and core PCE (+3.3% YoY) inflation remain well above the Fed’s +2.0% target. </w:t>
      </w:r>
    </w:p>
    <w:p w14:paraId="4B23F9E5"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The STOXX Europe 600 Index gained 1.16% in July, extending its advance of 0.25% in June, supported by resilient corporate earnings and improving investor sentiment despite a softer macroeconomic backdrop and ongoing uncertainty over the interest rate outlook. Meanwhile, Eurozone inflation continued to moderate in June 2026, with headline inflation rising to 2.9% YoY from 2.8% in the previous month, driven primarily by increases in energy (10.0%, compared with 8.5% in June), followed by services (3.3%, compared with 3.2% in June), food, alcohol &amp; tobacco (1.2%, compared with 1.5% in June) and non-energy industrial goods (0.9%, compared with 0.7% in June). Core inflation, which excludes volatile food and energy prices, also rose to 2.5% YoY from 2.4% in the previous </w:t>
      </w:r>
      <w:r w:rsidRPr="008E678C">
        <w:rPr>
          <w:rFonts w:ascii="Arial" w:hAnsi="Arial" w:cs="Arial"/>
          <w:sz w:val="18"/>
          <w:szCs w:val="18"/>
          <w:lang w:eastAsia="en-MY"/>
        </w:rPr>
        <w:lastRenderedPageBreak/>
        <w:t>month. Inflation in the eurozone remained well above the European Central Bank's (ECB) 2.0% target, reinforcing market expectations that the ECB could raise its key policy rate by a further 25 basis points at its September meeting.</w:t>
      </w:r>
    </w:p>
    <w:p w14:paraId="3E36A952"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Hang Seng Index and Hang Seng China Enterprises Index recovered to gain 13.13% and 13.94% respectively, following the 9.21% and 10.36% falls in June. Hong Kong market outperformed regional peers amid heightened global market volatility as capital rotated from AI-related stocks into underperforming markets and sectors trading at more attractive valuations. Meanwhile, China's economic growth moderated in 2Q26, with real GDP expanding 4.3% YoY, down from 5.0% in 1Q26, reflecting an uneven recovery driven by widening divergence between AI-related industries and traditional sectors. Although nominal GDP growth accelerated to 5.892% in June from 4.938% in March, its strongest pace in nearly three years, indicating a gradual easing in deflationary pressures, broader economic momentum remained weak. Official data showed the Composite PMI falling from 50.6 in June to 49.3 in July. The manufacturing PMI fell to 49.2 in July from 50.2 in June, hitting a five-month low, while the non-manufacturing PMI declined to 49.0 from 50.2, </w:t>
      </w:r>
      <w:proofErr w:type="spellStart"/>
      <w:r w:rsidRPr="008E678C">
        <w:rPr>
          <w:rFonts w:ascii="Arial" w:hAnsi="Arial" w:cs="Arial"/>
          <w:sz w:val="18"/>
          <w:szCs w:val="18"/>
          <w:lang w:eastAsia="en-MY"/>
        </w:rPr>
        <w:t>signaling</w:t>
      </w:r>
      <w:proofErr w:type="spellEnd"/>
      <w:r w:rsidRPr="008E678C">
        <w:rPr>
          <w:rFonts w:ascii="Arial" w:hAnsi="Arial" w:cs="Arial"/>
          <w:sz w:val="18"/>
          <w:szCs w:val="18"/>
          <w:lang w:eastAsia="en-MY"/>
        </w:rPr>
        <w:t xml:space="preserve"> a renewed slowdown after two months of modest expansion. The decline signals renewed concerns over a slowdown in China’s economy. The weakness was partly attributable to seasonal factors and disruptions caused by extreme weather conditions. Nevertheless, with the General PMI falling to its lowest level since late 2022, additional policy support may be required to sustain domestic demand and support broader economic activity.</w:t>
      </w:r>
    </w:p>
    <w:p w14:paraId="520A948A"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South Korea's KOSPI Index declined a further 22.19% in July. Concerns overcrowded positioning in AI-related stocks triggered a broad selloff across global technology markets, weighing heavily on South Korean equities, given the market's significant exposure to semiconductor and AI-related companies. On 31 July, the KOSPI erased early gains to close 1.2% lower as investors took profit in AI and semiconductor stocks. Selling pressure on index heavyweights such as Samsung Electronics and SK Hynix reflected growing concerns about rising stock valuations and leveraging in the market, uncertainty over the sustainability of AI-related spending, and expectations of higher global interest rates for longer. Market volatility was further amplified by the unwinding of leveraged retail positions, with Goldman Sachs estimating that more than 1.2 million retail trading accounts received margin calls, of which approximately 320,000–360,000 were fully liquidated, exacerbating selling pressure across the market. Meanwhile, the Bank of Korea raised its policy rate by 25 basis points to 2.75% after June consumer inflation rose to 3.2% YoY from 3.1% YoY in May, while core inflation remained elevated at 2.5%. Despite the weakness in equity markets, South Korea's external sector remained resilient, with July exports driven by robust technology demand. Semiconductor exports surged 178.8% YoY, while computer-related product shipments jumped 404.0% YoY, highlighting continued strength in AI-driven demand despite ongoing weakness in selected manufacturing industries.</w:t>
      </w:r>
    </w:p>
    <w:p w14:paraId="7AF16598"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Taiwan's TWSE Index declined 6.52% in July, reversing the 1.54% gain recorded in June, as a broad selloff in global technology stocks weighed on investor sentiment. Despite weaker sentiment across the global technology sector, Taiwan's equity market remained resilient, supported by the country's strong macroeconomic fundamentals and continued strength in its technology supply chain. Taiwan's economy remained robust, with 2Q26 GDP expanding 12.92% YoY, marking the third consecutive quarter of double-digit growth. On a seasonally adjusted basis, </w:t>
      </w:r>
      <w:proofErr w:type="spellStart"/>
      <w:r w:rsidRPr="008E678C">
        <w:rPr>
          <w:rFonts w:ascii="Arial" w:hAnsi="Arial" w:cs="Arial"/>
          <w:sz w:val="18"/>
          <w:szCs w:val="18"/>
          <w:lang w:eastAsia="en-MY"/>
        </w:rPr>
        <w:t>QoQ</w:t>
      </w:r>
      <w:proofErr w:type="spellEnd"/>
      <w:r w:rsidRPr="008E678C">
        <w:rPr>
          <w:rFonts w:ascii="Arial" w:hAnsi="Arial" w:cs="Arial"/>
          <w:sz w:val="18"/>
          <w:szCs w:val="18"/>
          <w:lang w:eastAsia="en-MY"/>
        </w:rPr>
        <w:t xml:space="preserve"> GDP growth accelerated to 2.39% from 1.69% in 1Q26, extending the economy's expansion streak to 13 consecutive quarters. Although investors rotated out of high-flying AI and semiconductor stocks amid profit-taking, robust export demand helped underpin market sentiment. ICT export orders surged 67.2% YoY to USD32.4 billion, driven by strong cloud-related demand for AI servers and networking equipment, while electronics orders rose 61.2% YoY to USD37.2 billion, supported by resilient demand across semiconductor manufacturing, chip distribution, and memory products. The sustained momentum in Taiwan's technology exports, together with improving earnings visibility for leading semiconductor companies, continued to support the broader market despite weakness in selected technology names.</w:t>
      </w:r>
    </w:p>
    <w:p w14:paraId="19D374E7"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Singapore's STI surged 8.85% in July supported by continued strength in the manufacturing sector and resilient export performance, particularly in electronics and AI-related industries. Singapore’s economy advanced 5.7% YoY in 2Q2026, slowing from an upwardly revised 6.3% expansion in Q1, which was the strongest annual growth since Q3 2024, but remaining above estimates of 5.5%, according to preliminary estimates. Goods producing sectors grew from 8.4% YoY in 1Q2026 to 10.4% YoY in 2Q2026, with manufacturing output surging 12.2% YoY in 2Q26, accelerating from 5.0% YoY in the previous quarter due to strong AI-related demand. While growth in Singapore’s Construction sector grew 11.8% YoY in Q1 followed by an estimated 6.2% growth in Q2. Quarterly, Singapore’s GDP grew by 5.7% YoY with 1.1% </w:t>
      </w:r>
      <w:proofErr w:type="spellStart"/>
      <w:r w:rsidRPr="008E678C">
        <w:rPr>
          <w:rFonts w:ascii="Arial" w:hAnsi="Arial" w:cs="Arial"/>
          <w:sz w:val="18"/>
          <w:szCs w:val="18"/>
          <w:lang w:eastAsia="en-MY"/>
        </w:rPr>
        <w:t>QoQ</w:t>
      </w:r>
      <w:proofErr w:type="spellEnd"/>
      <w:r w:rsidRPr="008E678C">
        <w:rPr>
          <w:rFonts w:ascii="Arial" w:hAnsi="Arial" w:cs="Arial"/>
          <w:sz w:val="18"/>
          <w:szCs w:val="18"/>
          <w:lang w:eastAsia="en-MY"/>
        </w:rPr>
        <w:t xml:space="preserve"> expansion, marking the softest growth since Q1 2025. Singapore's external sector remained resilient, supported by robust exports sectors. Non-oil domestic exports (NODX) grew 20.7% YoY in June 2026, moderating from the revised 38.4% increase in May, which was the strongest growth since December 2003. Nevertheless, this marked the tenth consecutive month of export expansion, driven by continued strength in electronics exports, which surged 105.1% YoY following a 94.8% increase in May. Growth was underpinned by robust AI-related demand, with exports of disk media products, integrated circuits (ICs), and personal computers rising 170.9%, 115.4%, and 95.8% YoY, respectively. The broad-based improvement reinforces the positive outlook for Singapore’s manufacturing and technology sectors. </w:t>
      </w:r>
      <w:r w:rsidRPr="00E748B2">
        <w:rPr>
          <w:rFonts w:ascii="Arial" w:hAnsi="Arial" w:cs="Arial"/>
          <w:sz w:val="18"/>
          <w:szCs w:val="18"/>
          <w:lang w:eastAsia="en-MY"/>
        </w:rPr>
        <w:t>These trends may support Singapore's projected GDP growth, although actual outcomes may differ</w:t>
      </w:r>
      <w:r w:rsidRPr="008E678C">
        <w:rPr>
          <w:rFonts w:ascii="Arial" w:hAnsi="Arial" w:cs="Arial"/>
          <w:sz w:val="18"/>
          <w:szCs w:val="18"/>
          <w:lang w:eastAsia="en-MY"/>
        </w:rPr>
        <w:t>.</w:t>
      </w:r>
    </w:p>
    <w:p w14:paraId="60387EFC"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Malaysia's KLCI advanced 3.66% in July on the back of improving investor sentiment. Malaysia's Leading Index declined 0.5% MoM, marking its first monthly contraction in three months and the sharpest decline since January 2026.  The Index recorded a 1.1% MoM increase in April. Annual growth in the Leading Index moderated to 0.8% YoY from 1.3% YoY in the previous month, </w:t>
      </w:r>
      <w:proofErr w:type="spellStart"/>
      <w:r w:rsidRPr="008E678C">
        <w:rPr>
          <w:rFonts w:ascii="Arial" w:hAnsi="Arial" w:cs="Arial"/>
          <w:sz w:val="18"/>
          <w:szCs w:val="18"/>
          <w:lang w:eastAsia="en-MY"/>
        </w:rPr>
        <w:t>signaling</w:t>
      </w:r>
      <w:proofErr w:type="spellEnd"/>
      <w:r w:rsidRPr="008E678C">
        <w:rPr>
          <w:rFonts w:ascii="Arial" w:hAnsi="Arial" w:cs="Arial"/>
          <w:sz w:val="18"/>
          <w:szCs w:val="18"/>
          <w:lang w:eastAsia="en-MY"/>
        </w:rPr>
        <w:t xml:space="preserve"> a moderation in the pace of economic expansion. Malaysia's Producer Price Index (PPI) for local production accelerated to 9.2% YoY in June 2026 from 7.8% in May, marking the highest annual increase recorded so far this year and indicating continued upward cost </w:t>
      </w:r>
      <w:r w:rsidRPr="008E678C">
        <w:rPr>
          <w:rFonts w:ascii="Arial" w:hAnsi="Arial" w:cs="Arial"/>
          <w:sz w:val="18"/>
          <w:szCs w:val="18"/>
          <w:lang w:eastAsia="en-MY"/>
        </w:rPr>
        <w:lastRenderedPageBreak/>
        <w:t xml:space="preserve">pressures across the production sector. Based on the advance estimate, Malaysia’s GDP grew stronger than expected at +5.8% YoY in 2Q26, accelerating from +5.4% YoY in 1Q26. Growth picked up across most major sectors like refined petroleum, electronic and optical sectors, except for the agriculture industry, which contracted by 3.7% YoY in 2Q26, reversing from 2.6% YoY growth in 1Q26. Growth in the services sector eased marginally. Malaysia’s total trade maintained double-digit expansion in June 2026, growing faster by 44.7% YoY as compared to 29.8% YoY in the prior month and expanding for the 10th straight month. Export growth accelerated to 45.3% YoY (May 2026: +44.7% YoY), the fastest growth since Aug-22. Import growth also accelerated sharply from 14.1% in May to +43.9% YoY in June, the fastest growth since Feb-22. </w:t>
      </w:r>
    </w:p>
    <w:p w14:paraId="726C64CF"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Thailand's SET Index gained 2.04% in July, reversing its 0.85% decline in June, largely supported by increased investment inflow, stronger goods exports, higher government spending, and resilient private consumption. However, the improvement does not yet signal a fundamental shift in the economy’s growth trajectory. Thailand's economic momentum remained uneven. Exports grew 20.8% YoY to USD34.7 billion in June 2026, accelerating from 10.6% YoY in May and marking the 24th consecutive month of expansion. Growth continued to be driven by robust global demand for technology products and AI-related applications. Nevertheless, export growth slowed significantly from April's 23.1% YoY increase, largely due to softer shipments to China. Meanwhile, imports surged 50.3% YoY to USD41.19 billion in June 2026, accelerating from 35.1% YoY in May, driven by stronger domestic demand, policy stimulus, and higher imports of fuel, raw materials, and capital goods. Thailand's industrial production contracted 3.1% YoY in June 2026, marking the third consecutive month of decline, weighed by weaker output in automobiles (-12.6%), petroleum products (-8.0%), apparel (-9.0%), and palm oil (-33.2%). However, resilient electronics demand provided partial support. Despite a 0.4% contraction in 1H26, the Industry Ministry maintained its 2026 growth forecast of 1%–2%.</w:t>
      </w:r>
    </w:p>
    <w:p w14:paraId="43643C2E"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The Jakarta Composite Index gained 10.51% in July. The market staged a recovery from the oversold situation in recent months, supported by improving domestic demand and external sector resilience. Indonesia recorded a trade deficit of USD450 million in June down from USD1.61 billion in the previous month. June export </w:t>
      </w:r>
      <w:proofErr w:type="spellStart"/>
      <w:r w:rsidRPr="008E678C">
        <w:rPr>
          <w:rFonts w:ascii="Arial" w:hAnsi="Arial" w:cs="Arial"/>
          <w:sz w:val="18"/>
          <w:szCs w:val="18"/>
          <w:lang w:eastAsia="en-MY"/>
        </w:rPr>
        <w:t>totaled</w:t>
      </w:r>
      <w:proofErr w:type="spellEnd"/>
      <w:r w:rsidRPr="008E678C">
        <w:rPr>
          <w:rFonts w:ascii="Arial" w:hAnsi="Arial" w:cs="Arial"/>
          <w:sz w:val="18"/>
          <w:szCs w:val="18"/>
          <w:lang w:eastAsia="en-MY"/>
        </w:rPr>
        <w:t xml:space="preserve"> USD25.46 billion, up 8.84% YoY, driven by stronger shipments of nickel products and palm oil. Meanwhile, import surged 34.27% YoY to USD25.91 billion due to heavy demand and higher oil prices. Despite the back-to-back deficits in May and June, Indonesia maintained a cumulative trade surplus of USD3.58 billion for the first half (January–June) of 2026. The oil and gas trade deficit widened significantly to USD3.76 billion from USD1.53 billion in May 2025, while the non-oil and gas surplus narrowed to USD2.15 billion from USD5.83 billion in the previous month. Indonesia's weaker trade balance reflected the combined effects of rupiah depreciation and elevated global oil prices, which increased import and transportation costs. Geopolitical tensions in the Middle East further intensified energy price pressures, highlighting the economy's vulnerability to external shocks and creating near-term risks to its external balance. To safeguard macroeconomic stability, Bank Indonesia responded by raising its benchmark policy rate by a cumulative 50 basis points to 5.75% through two consecutive 25-basis-point hikes. The tighter monetary stance is intended to support the rupiah, anchor inflation expectations, preserve financial market stability, and strengthen confidence amid an increasingly uncertain global environment.</w:t>
      </w:r>
    </w:p>
    <w:p w14:paraId="77658899"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The Philippines PSE Index advanced a further 3.30</w:t>
      </w:r>
      <w:r>
        <w:rPr>
          <w:rFonts w:ascii="Arial" w:hAnsi="Arial" w:cs="Arial"/>
          <w:sz w:val="18"/>
          <w:szCs w:val="18"/>
          <w:lang w:eastAsia="en-MY"/>
        </w:rPr>
        <w:t>%</w:t>
      </w:r>
      <w:r w:rsidRPr="008E678C">
        <w:rPr>
          <w:rFonts w:ascii="Arial" w:hAnsi="Arial" w:cs="Arial"/>
          <w:sz w:val="18"/>
          <w:szCs w:val="18"/>
          <w:lang w:eastAsia="en-MY"/>
        </w:rPr>
        <w:t>. The Producer Price Index (PPI) for manufacturing rose 3.0% YoY in June 2026, easing slightly from 3.1% in May. On a monthly basis, manufacturing producer prices increased 0.2%, while PPI averaged 2.3% YoY in 1H26, indicating that cost pressures for manufacturers remained manageable. The Philippines' trade deficit widened to USD4.9 billion in June 2026 from USD4.4 billion a year earlier. Exports increased 24.1% YoY to USD8.8 billion, while imports rose 19.6% YoY to USD13.7 billion. On a cumulative basis, the trade deficit reached USD30.8 billion in 1H2026, reflecting the country's continued reliance on imports and persistent external imbalances despite resilient trade activity and robust export growth. Investor sentiment improved after June inflation came in below market expectations at 6.4% YoY (consensus: 6.5%), reinforcing expectations of a more supportive macroeconomic environment. Nevertheless, ongoing geopolitical tensions in the Middle East and domestic political uncertainty continued to limit gains and cap overall market upside. On the banking front, the gross non-performing loan (NPL) ratio of Philippine banks declined to a six-month low of 3.29% in June, from 3.44% in May, indicating an improvement in asset quality. Philippine banks' gross non-performing loans (NPL) reached PHP584.94 billion in June, a decline from PHP604.41 billion in May. Meanwhile, BSP data showed that the industry’s total outstanding loan portfolio reached PHP14.88 trillion in June, marking a 9.8% increase.</w:t>
      </w:r>
    </w:p>
    <w:p w14:paraId="0D365843"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Vietnam's VN-Index declined 6.68% in July, extending its 0.16% decline in June. Vietnam's trade deficit widened to USD3.587 billion in July from USD2.64 billion in June, as import growth continued to outpace exports. Goods exports increased 25.0% YoY to USD53.0 billion, while imports surged 41.0% YoY to USD56.67 billion, reflecting strong demand for raw materials and capital goods. For the first seven months of 2026, exports rose 21.7% YoY to USD320 billion, while imports climbed 34.8% to USD340 billion, resulting in a cumulative trade deficit of USD20.5 billion, surpassing Vietnam's previous full-year record deficit of approximately USD18 billion in 2008. Meanwhile, consumer price inflation moderated to 4.45% YoY in July from 4.69% in June, suggesting easing inflationary pressures despite resilient domestic demand. Industrial production remained robust, with output rising 14.5% YoY, accelerating from 12.7% YoY in June. Growth was driven by a 15.0% YoY increase in manufacturing output and a 12.5% YoY rise in electricity production and distribution, reflecting sustained global AI-driven demand, resilient export-oriented manufacturing activity, and continued supply chain diversification despite geopolitical uncertainties and elevated energy costs.</w:t>
      </w:r>
    </w:p>
    <w:p w14:paraId="78E4AD6C" w14:textId="77777777" w:rsidR="004A5180" w:rsidRPr="008E678C" w:rsidRDefault="004A5180" w:rsidP="004A5180">
      <w:pPr>
        <w:widowControl w:val="0"/>
        <w:suppressAutoHyphens/>
        <w:autoSpaceDN w:val="0"/>
        <w:spacing w:line="240" w:lineRule="auto"/>
        <w:jc w:val="both"/>
        <w:rPr>
          <w:rFonts w:ascii="Arial" w:hAnsi="Arial" w:cs="Arial"/>
          <w:b/>
          <w:bCs/>
          <w:sz w:val="18"/>
          <w:szCs w:val="18"/>
          <w:u w:val="single"/>
          <w:lang w:eastAsia="en-MY"/>
        </w:rPr>
      </w:pPr>
      <w:r w:rsidRPr="008E678C">
        <w:rPr>
          <w:rFonts w:ascii="Arial" w:hAnsi="Arial" w:cs="Arial"/>
          <w:b/>
          <w:bCs/>
          <w:sz w:val="18"/>
          <w:szCs w:val="18"/>
          <w:u w:val="single"/>
          <w:lang w:eastAsia="en-MY"/>
        </w:rPr>
        <w:t>MARKET OUTLOOK</w:t>
      </w:r>
    </w:p>
    <w:p w14:paraId="77DDF314"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The shift to a dovish monetary stance in the US at the start of 2026 had been upended by the war in the Middle East which disrupted </w:t>
      </w:r>
      <w:r w:rsidRPr="008E678C">
        <w:rPr>
          <w:rFonts w:ascii="Arial" w:hAnsi="Arial" w:cs="Arial"/>
          <w:sz w:val="18"/>
          <w:szCs w:val="18"/>
          <w:lang w:eastAsia="en-MY"/>
        </w:rPr>
        <w:lastRenderedPageBreak/>
        <w:t xml:space="preserve">the flow of oil exports and pushed up oil prices and brought about consequential price increases. After an almost 12 months of twist and turns in the US tariff saga, the market is still divided on impact of higher tariffs on macro variables such as inflation and economic activities. US market valuations are at historical high, and the high valuation is further driven by massive capital expenditure for AI. Meanwhile, the semiconductor and AI investment cycle may be entering a more challenging phase following a broad correction across global technology markets. Investors locked in gains following the sector's extended AI-driven rally amid concerns over stretched valuations, crowded positioning, and doubts over elevated AI-related capital expenditure will generate sufficient returns to justify current market expectations. Expectations that global interest rates may remain higher for longer further weighed on high-growth technology stocks. </w:t>
      </w:r>
    </w:p>
    <w:p w14:paraId="18C3475F"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Geo-political developments as well as policy directions in the major economies, in particular US and in China, remain on our radar screen.  The market is still watchful of developments in Trump’s tariffs for the key trade partners. The US tariffs scene has been marked by changes, the latest development being the US announcement in June of imposition of tariffs ranging from 10% to 12.5% on various countries depending on the countries’ compliance with forced labour ban. Meanwhile, the military conflict between the US/Israel and Iran has entered a new phase with a semblance of ceasefire following the signing of the US-Iran MOU, but uncertainty remains as to whether this will lead to a full peace in the region.  However, it has so far resulted in a substantial fall in the price of crude oil.  Global stock markets have also rallied on expectation of decline in energy costs. However, uncertainty remains with instances of military strikes and counter strikes taking place. The road to conclusion of a peace agreement between the US and Iran will not be smooth, with difficulties over several issues, including Iran’s nuclear programme, the lifting of US sanctions and the Hezbollah factor.     </w:t>
      </w:r>
    </w:p>
    <w:p w14:paraId="1695B9CB"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In Asia, the focus is on the pace of China’s economic recovery which has been weaker than expected.  The tariff issues with the US and continuing efforts to broaden restrictions on sales of tech equipment and services to Chinese entities can only exacerbate the economic situation in China, while presenting frictions to the US-China relationship. The Chinese property sector continues to face challenges, and any sign of stabilization and growth will have positive catalyst for China’s economy and risk assets.  The Chinese government continues to bring forth measures to help the economy. The Chinese government remains constructive on policies to spur economic activities to achieve economic growth target. Priorities in terms of business sectors that would receive policy support could be expected to vary over time. The various measures are positive for market sentiments. However, the longer- term effectiveness on China’s economy continues to be closely watched.  It may take time for the initiatives to bear fruit. The focus will be on addressing the challenges in the property market, lifting consumer sentiments and consumption, countering the effects of restrictive measures imposed by the US, and promoting the industries that would spearhead the country’s advances in key sectors. </w:t>
      </w:r>
    </w:p>
    <w:p w14:paraId="09054FA8"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On external trade, countries with high export dependency for growth in the Asia region including ASEAN will face significant challenges arising from the US tariff policies. The disruption in supply chain realignment may result in temporary mismatch in corporate earnings delivery against market expectation during the initial stage of tariff implementation.  To date, while ASEAN countries’ exports to the US have been impacted by the tariffs, these countries have been able to mitigate the impact on the economic growth through trade diversifications. Many of these countries have now to also contend with having to manage disruptions in energy supplies and the ensuing price escalations.    </w:t>
      </w:r>
    </w:p>
    <w:p w14:paraId="2BCD8845"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While at least one interest rate cut is expected by the end of 2026, the outlook for risk assets continues to face several headwinds. These include the lagged effects of still-elevated interest rates on business activity and economic growth, uncertainty surrounding U.S. policy, sustainability of the historically high U.S. equity valuations, persistent geopolitical tensions, and their impact on global energy supplies, as well as slower-than-expected economic growth in China. Nevertheless, we remain cautiously optimistic about the investment opportunities within the investment space we are in. Despite the recent recovery, Chinese equities remain under-owned after several years of sustained market weakness, and </w:t>
      </w:r>
      <w:r>
        <w:rPr>
          <w:rFonts w:ascii="Arial" w:hAnsi="Arial" w:cs="Arial"/>
          <w:sz w:val="18"/>
          <w:szCs w:val="18"/>
          <w:lang w:eastAsia="en-MY"/>
        </w:rPr>
        <w:t>c</w:t>
      </w:r>
      <w:r w:rsidRPr="00E00EC1">
        <w:rPr>
          <w:rFonts w:ascii="Arial" w:hAnsi="Arial" w:cs="Arial"/>
          <w:sz w:val="18"/>
          <w:szCs w:val="18"/>
          <w:lang w:eastAsia="en-MY"/>
        </w:rPr>
        <w:t>urrent valuations are below selected historical averages based on internal analysis</w:t>
      </w:r>
      <w:r w:rsidRPr="008E678C">
        <w:rPr>
          <w:rFonts w:ascii="Arial" w:hAnsi="Arial" w:cs="Arial"/>
          <w:sz w:val="18"/>
          <w:szCs w:val="18"/>
          <w:lang w:eastAsia="en-MY"/>
        </w:rPr>
        <w:t>. Coupled with the Chinese government's recent policy support measures, these factors provide scope for further upside over the medium term.</w:t>
      </w:r>
    </w:p>
    <w:p w14:paraId="06F1874D" w14:textId="77777777" w:rsidR="004A5180" w:rsidRPr="008E678C" w:rsidRDefault="004A5180" w:rsidP="004A5180">
      <w:pPr>
        <w:widowControl w:val="0"/>
        <w:suppressAutoHyphens/>
        <w:autoSpaceDN w:val="0"/>
        <w:spacing w:line="240" w:lineRule="auto"/>
        <w:jc w:val="both"/>
        <w:rPr>
          <w:rFonts w:ascii="Arial" w:hAnsi="Arial" w:cs="Arial"/>
          <w:b/>
          <w:bCs/>
          <w:sz w:val="18"/>
          <w:szCs w:val="18"/>
          <w:u w:val="single"/>
          <w:lang w:eastAsia="en-MY"/>
        </w:rPr>
      </w:pPr>
      <w:r w:rsidRPr="008E678C">
        <w:rPr>
          <w:rFonts w:ascii="Arial" w:hAnsi="Arial" w:cs="Arial"/>
          <w:b/>
          <w:bCs/>
          <w:sz w:val="18"/>
          <w:szCs w:val="18"/>
          <w:u w:val="single"/>
          <w:lang w:eastAsia="en-MY"/>
        </w:rPr>
        <w:t>INVESTMENT STRATEGY</w:t>
      </w:r>
    </w:p>
    <w:p w14:paraId="7AE04C57"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 xml:space="preserve">We continue to apply our strategy of focusing on identifying fundamentally healthy companies with low valuations, low leverage, high growth, robust management and a strong track record, and adherence to our investment philosophy of “Never Fully Invest at All Times” which has served us well over the years. </w:t>
      </w:r>
    </w:p>
    <w:p w14:paraId="09DDAEBA"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r w:rsidRPr="008E678C">
        <w:rPr>
          <w:rFonts w:ascii="Arial" w:hAnsi="Arial" w:cs="Arial"/>
          <w:sz w:val="18"/>
          <w:szCs w:val="18"/>
          <w:lang w:eastAsia="en-MY"/>
        </w:rPr>
        <w:t>We thank you once again for your continued faith in us and hope to remain good stewards in our endeavour to protect and grow your capital.</w:t>
      </w:r>
    </w:p>
    <w:p w14:paraId="1884D8A2" w14:textId="77777777" w:rsidR="004A5180" w:rsidRPr="008E678C" w:rsidRDefault="004A5180" w:rsidP="004A5180">
      <w:pPr>
        <w:widowControl w:val="0"/>
        <w:suppressAutoHyphens/>
        <w:autoSpaceDN w:val="0"/>
        <w:spacing w:line="240" w:lineRule="auto"/>
        <w:jc w:val="both"/>
        <w:rPr>
          <w:rFonts w:ascii="Arial" w:hAnsi="Arial" w:cs="Arial"/>
          <w:sz w:val="18"/>
          <w:szCs w:val="18"/>
          <w:lang w:eastAsia="en-MY"/>
        </w:rPr>
      </w:pPr>
    </w:p>
    <w:p w14:paraId="3B778822" w14:textId="77777777" w:rsidR="004A5180" w:rsidRPr="008E678C" w:rsidRDefault="004A5180" w:rsidP="004A5180">
      <w:pPr>
        <w:widowControl w:val="0"/>
        <w:suppressAutoHyphens/>
        <w:autoSpaceDN w:val="0"/>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MALAYSIA</w:t>
      </w:r>
    </w:p>
    <w:p w14:paraId="73AE4C8D" w14:textId="77777777" w:rsidR="004A5180" w:rsidRPr="008E678C" w:rsidRDefault="004A5180" w:rsidP="004A5180">
      <w:pPr>
        <w:spacing w:line="240" w:lineRule="auto"/>
        <w:jc w:val="both"/>
        <w:rPr>
          <w:rFonts w:ascii="Arial" w:hAnsi="Arial" w:cs="Arial"/>
          <w:b/>
          <w:sz w:val="18"/>
          <w:szCs w:val="18"/>
          <w:u w:val="single"/>
        </w:rPr>
      </w:pPr>
      <w:r w:rsidRPr="008E678C">
        <w:rPr>
          <w:rFonts w:ascii="Arial" w:hAnsi="Arial" w:cs="Arial"/>
          <w:b/>
          <w:sz w:val="18"/>
          <w:szCs w:val="18"/>
          <w:u w:val="single"/>
        </w:rPr>
        <w:t>Market Summary</w:t>
      </w:r>
    </w:p>
    <w:p w14:paraId="00BBB304" w14:textId="77777777" w:rsidR="004A5180" w:rsidRPr="008E678C" w:rsidRDefault="004A5180" w:rsidP="004A5180">
      <w:pPr>
        <w:spacing w:before="240" w:after="240" w:line="240" w:lineRule="auto"/>
        <w:jc w:val="both"/>
        <w:rPr>
          <w:rFonts w:ascii="Arial" w:eastAsia="SimSun" w:hAnsi="Arial" w:cs="Arial"/>
          <w:kern w:val="3"/>
          <w:sz w:val="18"/>
          <w:szCs w:val="18"/>
          <w:lang w:bidi="hi-IN"/>
        </w:rPr>
      </w:pPr>
      <w:r w:rsidRPr="008E678C">
        <w:rPr>
          <w:rFonts w:ascii="Arial" w:eastAsia="SimSun" w:hAnsi="Arial" w:cs="Arial"/>
          <w:kern w:val="3"/>
          <w:sz w:val="18"/>
          <w:szCs w:val="18"/>
          <w:lang w:bidi="hi-IN"/>
        </w:rPr>
        <w:lastRenderedPageBreak/>
        <w:t>The FBMKLCI Index increased to 3.66% to close the month of July at 1724.90 points. The RM remained broadly stable against the USD and closed at RM 4.09.</w:t>
      </w:r>
    </w:p>
    <w:p w14:paraId="3BCF423F" w14:textId="77777777" w:rsidR="004A5180" w:rsidRPr="008E678C" w:rsidRDefault="004A5180" w:rsidP="004A5180">
      <w:pPr>
        <w:spacing w:before="240" w:after="240" w:line="240" w:lineRule="auto"/>
        <w:jc w:val="both"/>
        <w:rPr>
          <w:rFonts w:ascii="Arial" w:hAnsi="Arial" w:cs="Arial"/>
          <w:b/>
          <w:sz w:val="18"/>
          <w:szCs w:val="18"/>
          <w:u w:val="single"/>
        </w:rPr>
      </w:pPr>
      <w:r w:rsidRPr="008E678C">
        <w:rPr>
          <w:rFonts w:ascii="Arial" w:hAnsi="Arial" w:cs="Arial"/>
          <w:b/>
          <w:sz w:val="18"/>
          <w:szCs w:val="18"/>
          <w:u w:val="single"/>
        </w:rPr>
        <w:t>Economic News</w:t>
      </w:r>
    </w:p>
    <w:p w14:paraId="192D41A8" w14:textId="77777777" w:rsidR="004A5180" w:rsidRPr="008E678C" w:rsidRDefault="004A5180" w:rsidP="004A5180">
      <w:pPr>
        <w:spacing w:line="240" w:lineRule="auto"/>
        <w:jc w:val="both"/>
        <w:rPr>
          <w:rFonts w:ascii="Arial" w:hAnsi="Arial" w:cs="Arial"/>
          <w:sz w:val="18"/>
          <w:szCs w:val="18"/>
        </w:rPr>
      </w:pPr>
      <w:r w:rsidRPr="008E678C">
        <w:rPr>
          <w:rFonts w:ascii="Arial" w:hAnsi="Arial" w:cs="Arial"/>
          <w:sz w:val="18"/>
          <w:szCs w:val="18"/>
        </w:rPr>
        <w:t>Malaysia's Manufacturing PMI remained unchanged at 50.7 in July, staying in expansion territory. Growth was supported by stronger new orders, which rose to 51.7, driven by repeat business, new product launches, secured tenders, and improved export demand from Europe and the US, while production growth remained modest.</w:t>
      </w:r>
    </w:p>
    <w:p w14:paraId="783C9601" w14:textId="77777777" w:rsidR="004A5180" w:rsidRPr="008E678C" w:rsidRDefault="004A5180" w:rsidP="004A5180">
      <w:pPr>
        <w:spacing w:line="240" w:lineRule="auto"/>
        <w:jc w:val="both"/>
        <w:rPr>
          <w:rFonts w:ascii="Arial" w:hAnsi="Arial" w:cs="Arial"/>
          <w:sz w:val="18"/>
          <w:szCs w:val="18"/>
        </w:rPr>
      </w:pPr>
      <w:r w:rsidRPr="008E678C">
        <w:rPr>
          <w:rFonts w:ascii="Arial" w:hAnsi="Arial" w:cs="Arial"/>
          <w:sz w:val="18"/>
          <w:szCs w:val="18"/>
        </w:rPr>
        <w:t>Exports surged 45.3% YoY in May 2026, accelerating from 37.3% in April and significantly outpacing import growth of 14.1%, resulting in a wider trade surplus of MYR40.4 billion</w:t>
      </w:r>
      <w:r>
        <w:rPr>
          <w:rFonts w:ascii="Arial" w:hAnsi="Arial" w:cs="Arial"/>
          <w:sz w:val="18"/>
          <w:szCs w:val="18"/>
        </w:rPr>
        <w:t>.</w:t>
      </w:r>
    </w:p>
    <w:p w14:paraId="4753AB9C" w14:textId="77777777" w:rsidR="004A5180" w:rsidRPr="008E678C" w:rsidRDefault="004A5180" w:rsidP="004A5180">
      <w:pPr>
        <w:spacing w:line="240" w:lineRule="auto"/>
        <w:jc w:val="both"/>
        <w:rPr>
          <w:rFonts w:ascii="Arial" w:hAnsi="Arial" w:cs="Arial"/>
          <w:sz w:val="18"/>
          <w:szCs w:val="18"/>
        </w:rPr>
      </w:pPr>
      <w:r w:rsidRPr="008E678C">
        <w:rPr>
          <w:rFonts w:ascii="Arial" w:hAnsi="Arial" w:cs="Arial"/>
          <w:sz w:val="18"/>
          <w:szCs w:val="18"/>
        </w:rPr>
        <w:t>The strong export performance was mainly driven by the E&amp;E sector (+70.5% YoY), benefiting from the ongoing AI-driven technology upcycle and robust global semiconductor demand. Mining and petroleum product exports also remained strong, supported by elevated energy prices.</w:t>
      </w:r>
    </w:p>
    <w:p w14:paraId="6FEB5443" w14:textId="77777777" w:rsidR="004A5180" w:rsidRDefault="004A5180" w:rsidP="004A5180">
      <w:pPr>
        <w:spacing w:line="240" w:lineRule="auto"/>
        <w:jc w:val="both"/>
        <w:rPr>
          <w:rFonts w:ascii="Arial" w:hAnsi="Arial" w:cs="Arial"/>
          <w:sz w:val="18"/>
          <w:szCs w:val="18"/>
        </w:rPr>
      </w:pPr>
      <w:r w:rsidRPr="008E678C">
        <w:rPr>
          <w:rFonts w:ascii="Arial" w:hAnsi="Arial" w:cs="Arial"/>
          <w:sz w:val="18"/>
          <w:szCs w:val="18"/>
        </w:rPr>
        <w:t>Malaysia's external sector outlook remains favourable, underpinned by resilient technology demand and strong trade momentum. Reflecting the robust year-to-date performance, 2026 export growth is forecast at 18.5%, with the trade surplus expected to reach MYR270 billion, supporting stronger GDP growth through net exports.</w:t>
      </w:r>
    </w:p>
    <w:p w14:paraId="320C9151" w14:textId="77777777" w:rsidR="004A5180" w:rsidRPr="008E678C" w:rsidRDefault="004A5180" w:rsidP="004A5180">
      <w:pPr>
        <w:spacing w:line="240" w:lineRule="auto"/>
        <w:jc w:val="both"/>
        <w:rPr>
          <w:rFonts w:ascii="Arial" w:hAnsi="Arial" w:cs="Arial"/>
          <w:sz w:val="18"/>
          <w:szCs w:val="18"/>
        </w:rPr>
      </w:pPr>
    </w:p>
    <w:p w14:paraId="272F9762" w14:textId="77777777" w:rsidR="004A5180" w:rsidRPr="008E678C" w:rsidRDefault="004A5180" w:rsidP="004A5180">
      <w:pPr>
        <w:spacing w:line="240" w:lineRule="auto"/>
        <w:jc w:val="both"/>
        <w:rPr>
          <w:rFonts w:ascii="Arial" w:hAnsi="Arial" w:cs="Arial"/>
          <w:b/>
          <w:sz w:val="18"/>
          <w:szCs w:val="18"/>
          <w:u w:val="single"/>
        </w:rPr>
      </w:pPr>
      <w:r w:rsidRPr="008E678C">
        <w:rPr>
          <w:rFonts w:ascii="Arial" w:hAnsi="Arial" w:cs="Arial"/>
          <w:b/>
          <w:sz w:val="18"/>
          <w:szCs w:val="18"/>
          <w:u w:val="single"/>
        </w:rPr>
        <w:t>Corporate News</w:t>
      </w:r>
    </w:p>
    <w:p w14:paraId="67CF64F7" w14:textId="77777777" w:rsidR="004A5180" w:rsidRPr="008E678C" w:rsidRDefault="004A5180" w:rsidP="004A5180">
      <w:pPr>
        <w:spacing w:line="240" w:lineRule="auto"/>
        <w:jc w:val="both"/>
        <w:rPr>
          <w:rFonts w:ascii="Arial" w:eastAsia="SimSun" w:hAnsi="Arial" w:cs="Arial"/>
          <w:bCs/>
          <w:sz w:val="18"/>
          <w:szCs w:val="18"/>
          <w:lang w:val="en-GB"/>
        </w:rPr>
      </w:pPr>
      <w:r w:rsidRPr="008E678C">
        <w:rPr>
          <w:rFonts w:ascii="Arial" w:eastAsia="SimSun" w:hAnsi="Arial" w:cs="Arial"/>
          <w:bCs/>
          <w:sz w:val="18"/>
          <w:szCs w:val="18"/>
          <w:lang w:val="en-GB"/>
        </w:rPr>
        <w:t xml:space="preserve">Malayan Banking </w:t>
      </w:r>
      <w:proofErr w:type="spellStart"/>
      <w:r w:rsidRPr="008E678C">
        <w:rPr>
          <w:rFonts w:ascii="Arial" w:eastAsia="SimSun" w:hAnsi="Arial" w:cs="Arial"/>
          <w:bCs/>
          <w:sz w:val="18"/>
          <w:szCs w:val="18"/>
          <w:lang w:val="en-GB"/>
        </w:rPr>
        <w:t>Berhad</w:t>
      </w:r>
      <w:proofErr w:type="spellEnd"/>
      <w:r w:rsidRPr="008E678C">
        <w:rPr>
          <w:rFonts w:ascii="Arial" w:eastAsia="SimSun" w:hAnsi="Arial" w:cs="Arial"/>
          <w:bCs/>
          <w:sz w:val="18"/>
          <w:szCs w:val="18"/>
          <w:lang w:val="en-GB"/>
        </w:rPr>
        <w:t xml:space="preserve"> (Maybank) is Malaysia’s largest banking group with leading positions across commercial banking, Islamic banking, insurance, and takaful through its </w:t>
      </w:r>
      <w:proofErr w:type="spellStart"/>
      <w:r w:rsidRPr="008E678C">
        <w:rPr>
          <w:rFonts w:ascii="Arial" w:eastAsia="SimSun" w:hAnsi="Arial" w:cs="Arial"/>
          <w:bCs/>
          <w:sz w:val="18"/>
          <w:szCs w:val="18"/>
          <w:lang w:val="en-GB"/>
        </w:rPr>
        <w:t>Etiqa</w:t>
      </w:r>
      <w:proofErr w:type="spellEnd"/>
      <w:r w:rsidRPr="008E678C">
        <w:rPr>
          <w:rFonts w:ascii="Arial" w:eastAsia="SimSun" w:hAnsi="Arial" w:cs="Arial"/>
          <w:bCs/>
          <w:sz w:val="18"/>
          <w:szCs w:val="18"/>
          <w:lang w:val="en-GB"/>
        </w:rPr>
        <w:t xml:space="preserve"> franchise. The recent acquisition of the remaining 31% stake in Maybank Ageas Holdings (MAH) from Ageas for RM4.83 billion will increase Maybank’s ownership of </w:t>
      </w:r>
      <w:proofErr w:type="spellStart"/>
      <w:r w:rsidRPr="008E678C">
        <w:rPr>
          <w:rFonts w:ascii="Arial" w:eastAsia="SimSun" w:hAnsi="Arial" w:cs="Arial"/>
          <w:bCs/>
          <w:sz w:val="18"/>
          <w:szCs w:val="18"/>
          <w:lang w:val="en-GB"/>
        </w:rPr>
        <w:t>Etiqa</w:t>
      </w:r>
      <w:proofErr w:type="spellEnd"/>
      <w:r w:rsidRPr="008E678C">
        <w:rPr>
          <w:rFonts w:ascii="Arial" w:eastAsia="SimSun" w:hAnsi="Arial" w:cs="Arial"/>
          <w:bCs/>
          <w:sz w:val="18"/>
          <w:szCs w:val="18"/>
          <w:lang w:val="en-GB"/>
        </w:rPr>
        <w:t xml:space="preserve"> to 100%, strengthening earnings contribution from its insurance and takaful businesses. MAH delivered a strong FY25 performance with net profit rising 21.7% YoY and ROE of 12.3%, above Maybank’s 11.2% ROE, making the transaction earnings accretive with management guiding for an additional RM178 million net profit contribution and a 37bps uplift in ROE from 11.7% to 12.1% on a proforma basis. </w:t>
      </w:r>
    </w:p>
    <w:p w14:paraId="1A6133D2" w14:textId="77777777" w:rsidR="004A5180" w:rsidRDefault="004A5180" w:rsidP="004A5180">
      <w:pPr>
        <w:spacing w:line="240" w:lineRule="auto"/>
        <w:jc w:val="both"/>
        <w:rPr>
          <w:rFonts w:ascii="Arial" w:eastAsia="SimSun" w:hAnsi="Arial" w:cs="Arial"/>
          <w:bCs/>
          <w:sz w:val="18"/>
          <w:szCs w:val="18"/>
          <w:lang w:val="en-GB"/>
        </w:rPr>
      </w:pPr>
      <w:r w:rsidRPr="008E678C">
        <w:rPr>
          <w:rFonts w:ascii="Arial" w:eastAsia="SimSun" w:hAnsi="Arial" w:cs="Arial"/>
          <w:bCs/>
          <w:sz w:val="18"/>
          <w:szCs w:val="18"/>
          <w:lang w:val="en-GB"/>
        </w:rPr>
        <w:t xml:space="preserve">YTL Power International </w:t>
      </w:r>
      <w:proofErr w:type="spellStart"/>
      <w:r w:rsidRPr="008E678C">
        <w:rPr>
          <w:rFonts w:ascii="Arial" w:eastAsia="SimSun" w:hAnsi="Arial" w:cs="Arial"/>
          <w:bCs/>
          <w:sz w:val="18"/>
          <w:szCs w:val="18"/>
          <w:lang w:val="en-GB"/>
        </w:rPr>
        <w:t>Berhad</w:t>
      </w:r>
      <w:proofErr w:type="spellEnd"/>
      <w:r w:rsidRPr="008E678C">
        <w:rPr>
          <w:rFonts w:ascii="Arial" w:eastAsia="SimSun" w:hAnsi="Arial" w:cs="Arial"/>
          <w:bCs/>
          <w:sz w:val="18"/>
          <w:szCs w:val="18"/>
          <w:lang w:val="en-GB"/>
        </w:rPr>
        <w:t xml:space="preserve"> (YTL Power) is a diversified infrastructure and utilities group with core operations spanning power generation, water utilities, telecommunications, and increasingly, data centres (DCs), which are emerging as its key long-term growth driver. The group is experiencing a significant earnings transformation driven by its Johor Green Data Centre Park, where 298MW of capacity has already been contracted and another 260MW is under construction, raising expected DC capacity to 578MW by end of FY28 versus 420MW previously assumed, while management's longer-term target has expanded to 1.2GW from the initial 600MW plan. Financially, earnings are expected to improve steadily supported by stronger contributions from both the DC segment and the recently acquired Ranhill assets, partially offsetting weaker margins at </w:t>
      </w:r>
      <w:proofErr w:type="spellStart"/>
      <w:r w:rsidRPr="008E678C">
        <w:rPr>
          <w:rFonts w:ascii="Arial" w:eastAsia="SimSun" w:hAnsi="Arial" w:cs="Arial"/>
          <w:bCs/>
          <w:sz w:val="18"/>
          <w:szCs w:val="18"/>
          <w:lang w:val="en-GB"/>
        </w:rPr>
        <w:t>PowerSeraya</w:t>
      </w:r>
      <w:proofErr w:type="spellEnd"/>
      <w:r w:rsidRPr="008E678C">
        <w:rPr>
          <w:rFonts w:ascii="Arial" w:eastAsia="SimSun" w:hAnsi="Arial" w:cs="Arial"/>
          <w:bCs/>
          <w:sz w:val="18"/>
          <w:szCs w:val="18"/>
          <w:lang w:val="en-GB"/>
        </w:rPr>
        <w:t>.</w:t>
      </w:r>
    </w:p>
    <w:p w14:paraId="1E0DBBD5" w14:textId="77777777" w:rsidR="004A5180" w:rsidRPr="008E678C" w:rsidRDefault="004A5180" w:rsidP="004A5180">
      <w:pPr>
        <w:spacing w:line="240" w:lineRule="auto"/>
        <w:jc w:val="both"/>
        <w:rPr>
          <w:rFonts w:ascii="Arial" w:eastAsia="SimSun" w:hAnsi="Arial" w:cs="Arial"/>
          <w:bCs/>
          <w:sz w:val="18"/>
          <w:szCs w:val="18"/>
          <w:lang w:val="en-GB"/>
        </w:rPr>
      </w:pPr>
      <w:r w:rsidRPr="008E678C">
        <w:rPr>
          <w:rFonts w:ascii="Arial" w:eastAsia="SimSun" w:hAnsi="Arial" w:cs="Arial"/>
          <w:bCs/>
          <w:sz w:val="18"/>
          <w:szCs w:val="18"/>
          <w:lang w:val="en-GB"/>
        </w:rPr>
        <w:t xml:space="preserve">DC demand remains exceptionally robust, with management targeting 200MW of new contracts annually and exploring expansion opportunities into the </w:t>
      </w:r>
      <w:proofErr w:type="spellStart"/>
      <w:r w:rsidRPr="008E678C">
        <w:rPr>
          <w:rFonts w:ascii="Arial" w:eastAsia="SimSun" w:hAnsi="Arial" w:cs="Arial"/>
          <w:bCs/>
          <w:sz w:val="18"/>
          <w:szCs w:val="18"/>
          <w:lang w:val="en-GB"/>
        </w:rPr>
        <w:t>Klang</w:t>
      </w:r>
      <w:proofErr w:type="spellEnd"/>
      <w:r w:rsidRPr="008E678C">
        <w:rPr>
          <w:rFonts w:ascii="Arial" w:eastAsia="SimSun" w:hAnsi="Arial" w:cs="Arial"/>
          <w:bCs/>
          <w:sz w:val="18"/>
          <w:szCs w:val="18"/>
          <w:lang w:val="en-GB"/>
        </w:rPr>
        <w:t xml:space="preserve"> Valley, wider ASEAN region, and the UK. IPO of the DC business in 2027 can help the company to ramp up, which could unlock substantial shareholder value. On the other hand, key risk </w:t>
      </w:r>
      <w:proofErr w:type="gramStart"/>
      <w:r w:rsidRPr="008E678C">
        <w:rPr>
          <w:rFonts w:ascii="Arial" w:eastAsia="SimSun" w:hAnsi="Arial" w:cs="Arial"/>
          <w:bCs/>
          <w:sz w:val="18"/>
          <w:szCs w:val="18"/>
          <w:lang w:val="en-GB"/>
        </w:rPr>
        <w:t>include</w:t>
      </w:r>
      <w:proofErr w:type="gramEnd"/>
      <w:r w:rsidRPr="008E678C">
        <w:rPr>
          <w:rFonts w:ascii="Arial" w:eastAsia="SimSun" w:hAnsi="Arial" w:cs="Arial"/>
          <w:bCs/>
          <w:sz w:val="18"/>
          <w:szCs w:val="18"/>
          <w:lang w:val="en-GB"/>
        </w:rPr>
        <w:t xml:space="preserve"> higher fuel costs at </w:t>
      </w:r>
      <w:proofErr w:type="spellStart"/>
      <w:r w:rsidRPr="008E678C">
        <w:rPr>
          <w:rFonts w:ascii="Arial" w:eastAsia="SimSun" w:hAnsi="Arial" w:cs="Arial"/>
          <w:bCs/>
          <w:sz w:val="18"/>
          <w:szCs w:val="18"/>
          <w:lang w:val="en-GB"/>
        </w:rPr>
        <w:t>PowerSeraya</w:t>
      </w:r>
      <w:proofErr w:type="spellEnd"/>
      <w:r w:rsidRPr="008E678C">
        <w:rPr>
          <w:rFonts w:ascii="Arial" w:eastAsia="SimSun" w:hAnsi="Arial" w:cs="Arial"/>
          <w:bCs/>
          <w:sz w:val="18"/>
          <w:szCs w:val="18"/>
          <w:lang w:val="en-GB"/>
        </w:rPr>
        <w:t>, delays in DC construction or commissioning, slower-than-expected DC customer take-up, delays in securing additional power supply, and execution risks associated with the group's ambitious expansion plans.</w:t>
      </w:r>
    </w:p>
    <w:p w14:paraId="0FEBAB3B" w14:textId="77777777" w:rsidR="004A5180" w:rsidRPr="008E678C" w:rsidRDefault="004A5180" w:rsidP="004A5180">
      <w:pPr>
        <w:spacing w:line="240" w:lineRule="auto"/>
        <w:jc w:val="both"/>
        <w:rPr>
          <w:rFonts w:ascii="Arial" w:eastAsia="SimSun" w:hAnsi="Arial" w:cs="Arial"/>
          <w:bCs/>
          <w:sz w:val="18"/>
          <w:szCs w:val="18"/>
          <w:lang w:val="en-GB"/>
        </w:rPr>
      </w:pPr>
      <w:r w:rsidRPr="008E678C">
        <w:rPr>
          <w:rFonts w:ascii="Arial" w:eastAsia="SimSun" w:hAnsi="Arial" w:cs="Arial"/>
          <w:bCs/>
          <w:sz w:val="18"/>
          <w:szCs w:val="18"/>
          <w:lang w:val="en-GB"/>
        </w:rPr>
        <w:t xml:space="preserve">Gas Malaysia </w:t>
      </w:r>
      <w:proofErr w:type="spellStart"/>
      <w:r w:rsidRPr="008E678C">
        <w:rPr>
          <w:rFonts w:ascii="Arial" w:eastAsia="SimSun" w:hAnsi="Arial" w:cs="Arial"/>
          <w:bCs/>
          <w:sz w:val="18"/>
          <w:szCs w:val="18"/>
          <w:lang w:val="en-GB"/>
        </w:rPr>
        <w:t>Berhad</w:t>
      </w:r>
      <w:proofErr w:type="spellEnd"/>
      <w:r w:rsidRPr="008E678C">
        <w:rPr>
          <w:rFonts w:ascii="Arial" w:eastAsia="SimSun" w:hAnsi="Arial" w:cs="Arial"/>
          <w:bCs/>
          <w:sz w:val="18"/>
          <w:szCs w:val="18"/>
          <w:lang w:val="en-GB"/>
        </w:rPr>
        <w:t xml:space="preserve"> (Gas Malaysia) is Malaysia's leading natural gas distributor and the sole operator of the Natural Gas Distribution System (NGDS), providing investors with a unique combination of regulated earnings stability and exposure to rising gas prices through its shipping business. Earnings are expected to strengthen progressively, with FY26F net profit forecast to grow 4% YoY, supported primarily by the newly approved 20% Regulatory Period 3 (RP3) tariff increase, despite softer gas volumes and lower Malaysia Reference Price (MRP) contribution. Earnings growth is then expected to accelerate to 16% in FY27F as MRP rises and gas demand recovers. Its regulated asset base (RAB) is projected to expand from current levels to RM2.7billion by end-2028, providing a larger earnings base. Regasification Terminal 4 (RGT4) in Yan, Kedah is catalyst for the company where they targeted commissioning by 2030, which could become a major gas supply hub for new power plants and potentially add further earnings upside through increased gas shipping volumes. The project alone contributes an estimated 49 </w:t>
      </w:r>
      <w:proofErr w:type="spellStart"/>
      <w:r w:rsidRPr="008E678C">
        <w:rPr>
          <w:rFonts w:ascii="Arial" w:eastAsia="SimSun" w:hAnsi="Arial" w:cs="Arial"/>
          <w:bCs/>
          <w:sz w:val="18"/>
          <w:szCs w:val="18"/>
          <w:lang w:val="en-GB"/>
        </w:rPr>
        <w:t>sen</w:t>
      </w:r>
      <w:proofErr w:type="spellEnd"/>
      <w:r w:rsidRPr="008E678C">
        <w:rPr>
          <w:rFonts w:ascii="Arial" w:eastAsia="SimSun" w:hAnsi="Arial" w:cs="Arial"/>
          <w:bCs/>
          <w:sz w:val="18"/>
          <w:szCs w:val="18"/>
          <w:lang w:val="en-GB"/>
        </w:rPr>
        <w:t xml:space="preserve"> per share to valuation, with additional upside possible from future gas capacity </w:t>
      </w:r>
      <w:proofErr w:type="spellStart"/>
      <w:proofErr w:type="gramStart"/>
      <w:r w:rsidRPr="008E678C">
        <w:rPr>
          <w:rFonts w:ascii="Arial" w:eastAsia="SimSun" w:hAnsi="Arial" w:cs="Arial"/>
          <w:bCs/>
          <w:sz w:val="18"/>
          <w:szCs w:val="18"/>
          <w:lang w:val="en-GB"/>
        </w:rPr>
        <w:t>allocation.Key</w:t>
      </w:r>
      <w:proofErr w:type="spellEnd"/>
      <w:proofErr w:type="gramEnd"/>
      <w:r w:rsidRPr="008E678C">
        <w:rPr>
          <w:rFonts w:ascii="Arial" w:eastAsia="SimSun" w:hAnsi="Arial" w:cs="Arial"/>
          <w:bCs/>
          <w:sz w:val="18"/>
          <w:szCs w:val="18"/>
          <w:lang w:val="en-GB"/>
        </w:rPr>
        <w:t xml:space="preserve"> risks include lower-than-expected MRP, weaker gas demand, increased competition from other gas shippers affecting volumes, cost overruns, or delays in the commissioning of RGT4, which could dampen earnings growth and valuation upside.</w:t>
      </w:r>
    </w:p>
    <w:p w14:paraId="5F14A988" w14:textId="77777777" w:rsidR="004A5180" w:rsidRDefault="004A5180" w:rsidP="004A5180">
      <w:pPr>
        <w:spacing w:line="240" w:lineRule="auto"/>
        <w:jc w:val="both"/>
        <w:rPr>
          <w:rFonts w:ascii="Arial" w:eastAsia="SimSun" w:hAnsi="Arial" w:cs="Arial"/>
          <w:bCs/>
          <w:sz w:val="18"/>
          <w:szCs w:val="18"/>
          <w:lang w:val="en-GB"/>
        </w:rPr>
      </w:pPr>
      <w:r w:rsidRPr="008E678C">
        <w:rPr>
          <w:rFonts w:ascii="Arial" w:eastAsia="SimSun" w:hAnsi="Arial" w:cs="Arial"/>
          <w:bCs/>
          <w:sz w:val="18"/>
          <w:szCs w:val="18"/>
          <w:lang w:val="en-GB"/>
        </w:rPr>
        <w:t xml:space="preserve">MISC </w:t>
      </w:r>
      <w:proofErr w:type="spellStart"/>
      <w:r w:rsidRPr="008E678C">
        <w:rPr>
          <w:rFonts w:ascii="Arial" w:eastAsia="SimSun" w:hAnsi="Arial" w:cs="Arial"/>
          <w:bCs/>
          <w:sz w:val="18"/>
          <w:szCs w:val="18"/>
          <w:lang w:val="en-GB"/>
        </w:rPr>
        <w:t>Berhad</w:t>
      </w:r>
      <w:proofErr w:type="spellEnd"/>
      <w:r w:rsidRPr="008E678C">
        <w:rPr>
          <w:rFonts w:ascii="Arial" w:eastAsia="SimSun" w:hAnsi="Arial" w:cs="Arial"/>
          <w:bCs/>
          <w:sz w:val="18"/>
          <w:szCs w:val="18"/>
          <w:lang w:val="en-GB"/>
        </w:rPr>
        <w:t xml:space="preserve"> is Malaysia’s leading energy-related maritime and logistics company, with businesses spanning LNG shipping, petroleum tankers, offshore FPSOs, and marine services. The group's earnings profile remains highly defensive due to its strategy of maintaining approximately 80% long-term contracted assets and 20% spot market exposure, providing stable cash flows while retaining upside from stronger freight markets. Looking ahead, management remains constructive on both its tanker and LNG </w:t>
      </w:r>
      <w:r w:rsidRPr="008E678C">
        <w:rPr>
          <w:rFonts w:ascii="Arial" w:eastAsia="SimSun" w:hAnsi="Arial" w:cs="Arial"/>
          <w:bCs/>
          <w:sz w:val="18"/>
          <w:szCs w:val="18"/>
          <w:lang w:val="en-GB"/>
        </w:rPr>
        <w:lastRenderedPageBreak/>
        <w:t xml:space="preserve">segments, with tanker rates expected to stay elevated due to longer voyage distances and higher tonne-mile demand, while LNG continues to be the key growth engine. The gas segment is expected to grow significantly, supported by 19 LNG carrier deliveries, with management targeting LNG-related revenue to become comparable to its petroleum segment by 2030. Financially, MISC plans to sustain annual capex of around USD1billion through 2030, supporting long-term fleet expansion while maintaining disciplined capital allocation. In addition, potential monetisation of offshore assets such as Mero 3, lower LNG impairment charges in FY26 compared with FY24-FY25, and continued commitment to progressive dividends should further support shareholder returns. Potential headwinds include higher vessel operating costs, weaker-than-expected tanker rates, contract cancellations, delays in LNG vessel deployments, regulatory challenges, and a broader slowdown in global energy trade flows, which could affect earnings growth and sentiment. </w:t>
      </w:r>
    </w:p>
    <w:p w14:paraId="36B8C1F7" w14:textId="77777777" w:rsidR="004A5180" w:rsidRPr="008E678C" w:rsidRDefault="004A5180" w:rsidP="004A5180">
      <w:pPr>
        <w:spacing w:line="240" w:lineRule="auto"/>
        <w:jc w:val="both"/>
        <w:rPr>
          <w:rFonts w:ascii="Arial" w:hAnsi="Arial" w:cs="Arial"/>
          <w:b/>
          <w:sz w:val="18"/>
          <w:szCs w:val="18"/>
          <w:u w:val="single"/>
        </w:rPr>
      </w:pPr>
      <w:r w:rsidRPr="008E678C">
        <w:rPr>
          <w:rFonts w:ascii="Arial" w:hAnsi="Arial" w:cs="Arial"/>
          <w:b/>
          <w:sz w:val="18"/>
          <w:szCs w:val="18"/>
          <w:u w:val="single"/>
        </w:rPr>
        <w:t>Outlook</w:t>
      </w:r>
    </w:p>
    <w:p w14:paraId="68F5E85C" w14:textId="77777777" w:rsidR="004A5180" w:rsidRPr="00E00EC1" w:rsidRDefault="004A5180" w:rsidP="004A5180">
      <w:pPr>
        <w:widowControl w:val="0"/>
        <w:suppressAutoHyphens/>
        <w:autoSpaceDN w:val="0"/>
        <w:spacing w:line="240" w:lineRule="auto"/>
        <w:jc w:val="both"/>
        <w:rPr>
          <w:rFonts w:ascii="Arial" w:eastAsia="SimSun" w:hAnsi="Arial" w:cs="Arial"/>
          <w:bCs/>
          <w:sz w:val="18"/>
          <w:szCs w:val="18"/>
        </w:rPr>
      </w:pPr>
      <w:r w:rsidRPr="008E678C">
        <w:rPr>
          <w:rFonts w:ascii="Arial" w:eastAsia="SimSun" w:hAnsi="Arial" w:cs="Arial"/>
          <w:bCs/>
          <w:sz w:val="18"/>
          <w:szCs w:val="18"/>
        </w:rPr>
        <w:t xml:space="preserve">FBM KLCI supported by resilient corporate earnings, continued strength in banking and selected technology stocks, and an improvement in foreign fund flows for the August. After gaining 3.66% month on month in July to 1,725 points, the Malaysian market outperformed most regional peers, highlighting its defensive qualities amid the broader Asian technology-led selloff. Foreign investors also returned as net buyers, while foreign ownership edged higher, indicating improving sentiment toward Malaysian equities. The banking sector remains a key pillar due to solid earnings visibility and attractive dividends, while technology stocks could benefit from recovering semiconductor demand and AI-related investment themes. However, gains may be capped by profit-taking after the market's recent rally and lingering external uncertainties. Overall, the bias remains constructive, with investors likely to </w:t>
      </w:r>
      <w:proofErr w:type="spellStart"/>
      <w:r w:rsidRPr="008E678C">
        <w:rPr>
          <w:rFonts w:ascii="Arial" w:eastAsia="SimSun" w:hAnsi="Arial" w:cs="Arial"/>
          <w:bCs/>
          <w:sz w:val="18"/>
          <w:szCs w:val="18"/>
        </w:rPr>
        <w:t>favor</w:t>
      </w:r>
      <w:proofErr w:type="spellEnd"/>
      <w:r w:rsidRPr="008E678C">
        <w:rPr>
          <w:rFonts w:ascii="Arial" w:eastAsia="SimSun" w:hAnsi="Arial" w:cs="Arial"/>
          <w:bCs/>
          <w:sz w:val="18"/>
          <w:szCs w:val="18"/>
        </w:rPr>
        <w:t xml:space="preserve"> quality large-cap names offering earnings resilience and defensive growth characteristics Malaysia’s outlook for 2H2026 remains constructive, supported by a stronger AI-driven technology upcycle, resilient manufacturing activity, improving exports, and sustained domestic investment momentum. GDP growth is expected to reach 4.9% - 5.0% in 2026, driven by stronger electronics production, net exports, and continued capital expenditure across key sectors. We will continue to </w:t>
      </w:r>
      <w:proofErr w:type="spellStart"/>
      <w:r w:rsidRPr="008E678C">
        <w:rPr>
          <w:rFonts w:ascii="Arial" w:eastAsia="SimSun" w:hAnsi="Arial" w:cs="Arial"/>
          <w:bCs/>
          <w:sz w:val="18"/>
          <w:szCs w:val="18"/>
        </w:rPr>
        <w:t>favor</w:t>
      </w:r>
      <w:proofErr w:type="spellEnd"/>
      <w:r w:rsidRPr="008E678C">
        <w:rPr>
          <w:rFonts w:ascii="Arial" w:eastAsia="SimSun" w:hAnsi="Arial" w:cs="Arial"/>
          <w:bCs/>
          <w:sz w:val="18"/>
          <w:szCs w:val="18"/>
        </w:rPr>
        <w:t xml:space="preserve"> companies with robust fundamentals, low valuations, good management, and low leverage.</w:t>
      </w:r>
    </w:p>
    <w:p w14:paraId="3CE00423" w14:textId="77777777" w:rsidR="004A5180" w:rsidRPr="008E678C" w:rsidRDefault="004A5180" w:rsidP="004A5180">
      <w:pPr>
        <w:widowControl w:val="0"/>
        <w:suppressAutoHyphens/>
        <w:autoSpaceDN w:val="0"/>
        <w:spacing w:line="240" w:lineRule="auto"/>
        <w:jc w:val="both"/>
        <w:rPr>
          <w:rFonts w:ascii="Arial" w:eastAsia="SimSun" w:hAnsi="Arial" w:cs="Arial"/>
          <w:b/>
          <w:sz w:val="18"/>
          <w:szCs w:val="18"/>
          <w:u w:val="single"/>
        </w:rPr>
      </w:pPr>
    </w:p>
    <w:p w14:paraId="790B9013"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lang w:eastAsia="en-MY" w:bidi="hi-IN"/>
        </w:rPr>
      </w:pPr>
      <w:r w:rsidRPr="008E678C">
        <w:rPr>
          <w:rFonts w:ascii="Arial" w:eastAsia="SimSun" w:hAnsi="Arial" w:cs="Arial"/>
          <w:b/>
          <w:sz w:val="18"/>
          <w:szCs w:val="18"/>
          <w:u w:val="single"/>
        </w:rPr>
        <w:t>INDONESIA</w:t>
      </w:r>
    </w:p>
    <w:p w14:paraId="4BA30F2E"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Market Summary</w:t>
      </w:r>
    </w:p>
    <w:p w14:paraId="498A2F4D" w14:textId="77777777" w:rsidR="004A5180" w:rsidRPr="008E678C" w:rsidRDefault="004A5180" w:rsidP="004A5180">
      <w:pPr>
        <w:spacing w:line="240" w:lineRule="auto"/>
        <w:jc w:val="both"/>
        <w:rPr>
          <w:rFonts w:ascii="Arial" w:eastAsia="SimSun" w:hAnsi="Arial" w:cs="Arial"/>
          <w:kern w:val="3"/>
          <w:sz w:val="18"/>
          <w:szCs w:val="18"/>
          <w:lang w:bidi="hi-IN"/>
        </w:rPr>
      </w:pPr>
      <w:r w:rsidRPr="008E678C">
        <w:rPr>
          <w:rFonts w:ascii="Arial" w:eastAsia="SimSun" w:hAnsi="Arial" w:cs="Arial"/>
          <w:kern w:val="3"/>
          <w:sz w:val="18"/>
          <w:szCs w:val="18"/>
          <w:lang w:bidi="hi-IN"/>
        </w:rPr>
        <w:t>The Jakarta composite Index declined 10.51% in the past six month to close at 6,236.13 points. The Indonesian Rupiah appreciated 0.07 % in July against the USD and closed at IDR 18,009.</w:t>
      </w:r>
    </w:p>
    <w:p w14:paraId="554583C6" w14:textId="77777777" w:rsidR="004A5180" w:rsidRDefault="004A5180" w:rsidP="004A5180">
      <w:pPr>
        <w:spacing w:line="240" w:lineRule="auto"/>
        <w:jc w:val="both"/>
        <w:rPr>
          <w:rFonts w:ascii="Arial" w:eastAsia="SimSun" w:hAnsi="Arial" w:cs="Arial"/>
          <w:b/>
          <w:sz w:val="18"/>
          <w:szCs w:val="18"/>
          <w:u w:val="single"/>
        </w:rPr>
      </w:pPr>
    </w:p>
    <w:p w14:paraId="66DD24DC" w14:textId="77777777" w:rsidR="004A5180" w:rsidRPr="008E678C" w:rsidRDefault="004A5180" w:rsidP="004A5180">
      <w:pPr>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Economic News</w:t>
      </w:r>
    </w:p>
    <w:p w14:paraId="4CDBF545"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Indonesia recorded a USD0.45 billion trade deficit in June, following a USD1.61billion deficit in May, as import growth continued to outpace exports. Imports surged 34.27% YoY, driven by higher crude oil prices and strong demand for raw materials and capital goods. Meanwhile, exports rebounded 8.84% YoY, supported by a 9.46% increase in non-oil and gas shipments, particularly to the US, China, Japan, and ASEAN. Despite two consecutive monthly deficits, Indonesia still posted a USD3.57billion cumulative trade surplus in the first half of 2026.</w:t>
      </w:r>
    </w:p>
    <w:p w14:paraId="2D5D40BE"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Manufacturing PMI rebounded to 50.2 in July from 46.9 in June, returning to expansion territory and reaching its highest level since February. The recovery was driven by higher production, stabilizing new orders, improving domestic demand, and a pickup in hiring, while business confidence rose to a six-month high.</w:t>
      </w:r>
    </w:p>
    <w:p w14:paraId="6D898958"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Headline inflation eased to 2.88% YoY in July from 3.34% in June, marking the lowest level since April. The moderation was mainly due to slower food price inflation, while core inflation remained stable at 2.76%, indicating resilient domestic demand and a benign inflation environment.</w:t>
      </w:r>
    </w:p>
    <w:p w14:paraId="5066EA61"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Indonesia recorded a USD0.45billion trade deficit in June, improving from a USD1.61billion deficit in May. Although imports continued to outpace exports due to strong demand for raw materials and capital goods, exports rebounded on stronger shipments to key markets. Importantly, Indonesia maintained a USD3.57billion cumulative trade surplus in 1H26, reflecting overall external sector resilience.</w:t>
      </w:r>
    </w:p>
    <w:p w14:paraId="173A7D5B" w14:textId="77777777" w:rsidR="004A5180" w:rsidRDefault="004A5180" w:rsidP="004A5180">
      <w:pPr>
        <w:spacing w:line="240" w:lineRule="auto"/>
        <w:jc w:val="both"/>
        <w:rPr>
          <w:rFonts w:ascii="Arial" w:eastAsia="SimSun" w:hAnsi="Arial" w:cs="Arial"/>
          <w:bCs/>
          <w:sz w:val="18"/>
          <w:szCs w:val="18"/>
        </w:rPr>
      </w:pPr>
    </w:p>
    <w:p w14:paraId="39E7D809" w14:textId="77777777" w:rsidR="004A5180" w:rsidRPr="008E678C" w:rsidRDefault="004A5180" w:rsidP="004A5180">
      <w:pPr>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Corporate News</w:t>
      </w:r>
    </w:p>
    <w:p w14:paraId="0E57B228"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 xml:space="preserve">PT Bank </w:t>
      </w:r>
      <w:proofErr w:type="spellStart"/>
      <w:r w:rsidRPr="008E678C">
        <w:rPr>
          <w:rFonts w:ascii="Arial" w:eastAsia="SimSun" w:hAnsi="Arial" w:cs="Arial"/>
          <w:bCs/>
          <w:sz w:val="18"/>
          <w:szCs w:val="18"/>
        </w:rPr>
        <w:t>Mandiri</w:t>
      </w:r>
      <w:proofErr w:type="spellEnd"/>
      <w:r w:rsidRPr="008E678C">
        <w:rPr>
          <w:rFonts w:ascii="Arial" w:eastAsia="SimSun" w:hAnsi="Arial" w:cs="Arial"/>
          <w:bCs/>
          <w:sz w:val="18"/>
          <w:szCs w:val="18"/>
        </w:rPr>
        <w:t xml:space="preserve"> </w:t>
      </w:r>
      <w:proofErr w:type="spellStart"/>
      <w:r w:rsidRPr="008E678C">
        <w:rPr>
          <w:rFonts w:ascii="Arial" w:eastAsia="SimSun" w:hAnsi="Arial" w:cs="Arial"/>
          <w:bCs/>
          <w:sz w:val="18"/>
          <w:szCs w:val="18"/>
        </w:rPr>
        <w:t>Tbk</w:t>
      </w:r>
      <w:proofErr w:type="spellEnd"/>
      <w:r w:rsidRPr="008E678C">
        <w:rPr>
          <w:rFonts w:ascii="Arial" w:eastAsia="SimSun" w:hAnsi="Arial" w:cs="Arial"/>
          <w:bCs/>
          <w:sz w:val="18"/>
          <w:szCs w:val="18"/>
        </w:rPr>
        <w:t xml:space="preserve"> (BMRI), Indonesia’s largest bank by assets and one of the country's leading state-owned banks, delivered a resilient 1H26 performance with net profit rising 24% YoY to Rp30.4 trillion, although 2Q26 earnings declined 2.3% </w:t>
      </w:r>
      <w:proofErr w:type="spellStart"/>
      <w:r w:rsidRPr="008E678C">
        <w:rPr>
          <w:rFonts w:ascii="Arial" w:eastAsia="SimSun" w:hAnsi="Arial" w:cs="Arial"/>
          <w:bCs/>
          <w:sz w:val="18"/>
          <w:szCs w:val="18"/>
        </w:rPr>
        <w:t>QoQ</w:t>
      </w:r>
      <w:proofErr w:type="spellEnd"/>
      <w:r w:rsidRPr="008E678C">
        <w:rPr>
          <w:rFonts w:ascii="Arial" w:eastAsia="SimSun" w:hAnsi="Arial" w:cs="Arial"/>
          <w:bCs/>
          <w:sz w:val="18"/>
          <w:szCs w:val="18"/>
        </w:rPr>
        <w:t xml:space="preserve"> due primarily to continued margin compression. Loan growth remains healthy, expanding 19% YoY and supported by government and SOE-related </w:t>
      </w:r>
      <w:r w:rsidRPr="008E678C">
        <w:rPr>
          <w:rFonts w:ascii="Arial" w:eastAsia="SimSun" w:hAnsi="Arial" w:cs="Arial"/>
          <w:bCs/>
          <w:sz w:val="18"/>
          <w:szCs w:val="18"/>
        </w:rPr>
        <w:lastRenderedPageBreak/>
        <w:t xml:space="preserve">lending, prompting management to maintain its 7-9% loan growth guidance for FY26. However, the key earnings headwind remains NIM, which declined to 4.56% in 1H26 from 4.70% in 1Q26, leading management to lower FY26 NIM guidance to 4.3-4.5%. FY26 net profit to decline 5.3% YoY to Rp53.3 trillion with ROE easing to 18.3% from 19.5% in FY25, before recovering in FY27 as margin pressure stabilizes. Asset quality remains a key strength with NPL at only 1.0%, high 235% coverage, and manageable CoC guidance of 60-80bps, providing downside protection. </w:t>
      </w:r>
    </w:p>
    <w:p w14:paraId="555A56B0"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Bank Central Asia (BBCA) remains one of the highest-quality banks in Indonesia and offers an attractive risk-reward profile despite near-term pressure on margins. While 1H26 net profit grew a modest 2% YoY to IDR29.5 trillion, earnings were impacted by a decline in NIM to 5.6% from 6.2% due to lower interest rates. However, management expects a meaningful margin recovery in 2H26, supported by higher BI rates, wholesale loan repricing, and rising yields on its liquidity portfolio. Loan growth remains healthy at 8% YoY to IDR1,036 trillion, driven primarily by the corporate segment, while its industry-leading CASA ratio of 84.3% continues to provide a low-cost funding advantage that competitors struggle to replicate. Asset quality remains exceptionally strong, with NPL improving to 1.82%, cost of credit declining to 0.40%, and loan-at-risk falling to 4.8%, supporting lower provisioning needs and sustainable earnings growth. The management intend to accelerate loan growth from the mining, plantation, refinery, and corporate sectors. NIM recovery from loan repricing initiatives, continued efficiency gains through AI adoption, and earnings reacceleration toward mid-to-high single-digit growth over the next several quarters are expected to put the bank in a better position.</w:t>
      </w:r>
    </w:p>
    <w:p w14:paraId="05BC7396" w14:textId="77777777" w:rsidR="004A5180" w:rsidRPr="008E678C" w:rsidRDefault="004A5180" w:rsidP="004A5180">
      <w:pPr>
        <w:spacing w:line="240" w:lineRule="auto"/>
        <w:jc w:val="both"/>
        <w:rPr>
          <w:rFonts w:ascii="Arial" w:eastAsia="SimSun" w:hAnsi="Arial" w:cs="Arial"/>
          <w:bCs/>
          <w:sz w:val="18"/>
          <w:szCs w:val="18"/>
        </w:rPr>
      </w:pPr>
      <w:proofErr w:type="spellStart"/>
      <w:r w:rsidRPr="008E678C">
        <w:rPr>
          <w:rFonts w:ascii="Arial" w:eastAsia="SimSun" w:hAnsi="Arial" w:cs="Arial"/>
          <w:bCs/>
          <w:sz w:val="18"/>
          <w:szCs w:val="18"/>
        </w:rPr>
        <w:t>Bumi</w:t>
      </w:r>
      <w:proofErr w:type="spellEnd"/>
      <w:r w:rsidRPr="008E678C">
        <w:rPr>
          <w:rFonts w:ascii="Arial" w:eastAsia="SimSun" w:hAnsi="Arial" w:cs="Arial"/>
          <w:bCs/>
          <w:sz w:val="18"/>
          <w:szCs w:val="18"/>
        </w:rPr>
        <w:t xml:space="preserve"> Resources Minerals </w:t>
      </w:r>
      <w:proofErr w:type="spellStart"/>
      <w:r w:rsidRPr="008E678C">
        <w:rPr>
          <w:rFonts w:ascii="Arial" w:eastAsia="SimSun" w:hAnsi="Arial" w:cs="Arial"/>
          <w:bCs/>
          <w:sz w:val="18"/>
          <w:szCs w:val="18"/>
        </w:rPr>
        <w:t>Tbk</w:t>
      </w:r>
      <w:proofErr w:type="spellEnd"/>
      <w:r w:rsidRPr="008E678C">
        <w:rPr>
          <w:rFonts w:ascii="Arial" w:eastAsia="SimSun" w:hAnsi="Arial" w:cs="Arial"/>
          <w:bCs/>
          <w:sz w:val="18"/>
          <w:szCs w:val="18"/>
        </w:rPr>
        <w:t xml:space="preserve"> (BRMS) is an Indonesian gold mining company with core operations at the Central </w:t>
      </w:r>
      <w:proofErr w:type="spellStart"/>
      <w:r w:rsidRPr="008E678C">
        <w:rPr>
          <w:rFonts w:ascii="Arial" w:eastAsia="SimSun" w:hAnsi="Arial" w:cs="Arial"/>
          <w:bCs/>
          <w:sz w:val="18"/>
          <w:szCs w:val="18"/>
        </w:rPr>
        <w:t>Palu</w:t>
      </w:r>
      <w:proofErr w:type="spellEnd"/>
      <w:r w:rsidRPr="008E678C">
        <w:rPr>
          <w:rFonts w:ascii="Arial" w:eastAsia="SimSun" w:hAnsi="Arial" w:cs="Arial"/>
          <w:bCs/>
          <w:sz w:val="18"/>
          <w:szCs w:val="18"/>
        </w:rPr>
        <w:t xml:space="preserve"> Metal (CPM) gold mine with potential long term growth story despite having a weak 1H26 performance. BRMS reported 1H26 revenue of USD95.8million (-21% YoY) and net profit of USD12.9million (-44% YoY) due to lower production, weaker sales volumes, and a 2Q26 net loss of USD4.6million, mainly caused by the </w:t>
      </w:r>
      <w:proofErr w:type="gramStart"/>
      <w:r w:rsidRPr="008E678C">
        <w:rPr>
          <w:rFonts w:ascii="Arial" w:eastAsia="SimSun" w:hAnsi="Arial" w:cs="Arial"/>
          <w:bCs/>
          <w:sz w:val="18"/>
          <w:szCs w:val="18"/>
        </w:rPr>
        <w:t>River</w:t>
      </w:r>
      <w:proofErr w:type="gramEnd"/>
      <w:r w:rsidRPr="008E678C">
        <w:rPr>
          <w:rFonts w:ascii="Arial" w:eastAsia="SimSun" w:hAnsi="Arial" w:cs="Arial"/>
          <w:bCs/>
          <w:sz w:val="18"/>
          <w:szCs w:val="18"/>
        </w:rPr>
        <w:t xml:space="preserve"> Reef pushback and softer realized gold prices. Gold output expected at 60.9koz in FY26, rising to 81.6koz in FY27 (+34%) and surging to 158.2koz in FY28 (+94%), from the management guidance during the briefing. The production is expected to increase more than double over the next two years as operations normalize despite the overall result decline. The completion of the </w:t>
      </w:r>
      <w:proofErr w:type="gramStart"/>
      <w:r w:rsidRPr="008E678C">
        <w:rPr>
          <w:rFonts w:ascii="Arial" w:eastAsia="SimSun" w:hAnsi="Arial" w:cs="Arial"/>
          <w:bCs/>
          <w:sz w:val="18"/>
          <w:szCs w:val="18"/>
        </w:rPr>
        <w:t>River</w:t>
      </w:r>
      <w:proofErr w:type="gramEnd"/>
      <w:r w:rsidRPr="008E678C">
        <w:rPr>
          <w:rFonts w:ascii="Arial" w:eastAsia="SimSun" w:hAnsi="Arial" w:cs="Arial"/>
          <w:bCs/>
          <w:sz w:val="18"/>
          <w:szCs w:val="18"/>
        </w:rPr>
        <w:t xml:space="preserve"> Reef pushback, the commencement of the 2,000tpd Carbon-in-Leach (CIL) expansion, and the start of higher-grade underground mining in 2H27 with ore grades of 3.5-4.9g/t, significantly higher than current levels. These developments should drive a strong recovery in revenue and earnings, with profit growth expected to accelerate sharply by FY28. Financial risk remains manageable as BRMS maintains a relatively low debt profile compared with its expansion potential, providing flexibility to fund growth. </w:t>
      </w:r>
    </w:p>
    <w:p w14:paraId="29AAE635" w14:textId="77777777" w:rsidR="004A5180" w:rsidRPr="008E678C" w:rsidRDefault="004A5180" w:rsidP="004A5180">
      <w:pPr>
        <w:tabs>
          <w:tab w:val="left" w:pos="1080"/>
        </w:tabs>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Outlook</w:t>
      </w:r>
    </w:p>
    <w:p w14:paraId="1C4E593F"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 xml:space="preserve">The Jakarta Composite Index maintains a constructive and recovery-driven outlook for the remainder of 2026, following its strong 10.5% rebound in July, which marked a significant turnaround after the sharp correction seen in 1H26. Improving domestic macroeconomic conditions, including 5.29% YoY GDP growth in 2Q26, a return of manufacturing activity into expansion territory (PMI 50.2), and substantial liquidity injections into state-owned banks are expected to support credit growth, economic activity, and equity market sentiment. The banking, industrial, and basic materials sectors, supported by stronger loan growth and recovering domestic demand. Overall, the medium-term bias remains positive. We will utilize this opportunity, to purchase stocks in their weakest points. </w:t>
      </w:r>
    </w:p>
    <w:p w14:paraId="04C27F23" w14:textId="77777777" w:rsidR="004A5180" w:rsidRPr="008E678C" w:rsidRDefault="004A5180" w:rsidP="004A5180">
      <w:pPr>
        <w:spacing w:line="240" w:lineRule="auto"/>
        <w:jc w:val="both"/>
        <w:rPr>
          <w:rFonts w:ascii="Arial" w:eastAsia="SimSun" w:hAnsi="Arial" w:cs="Arial"/>
          <w:b/>
          <w:sz w:val="18"/>
          <w:szCs w:val="18"/>
          <w:u w:val="single"/>
        </w:rPr>
      </w:pPr>
    </w:p>
    <w:p w14:paraId="34940C80" w14:textId="77777777" w:rsidR="004A5180" w:rsidRPr="008E678C" w:rsidRDefault="004A5180" w:rsidP="004A5180">
      <w:pPr>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SINGAPORE</w:t>
      </w:r>
    </w:p>
    <w:p w14:paraId="2EB0597A"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Market Summary</w:t>
      </w:r>
    </w:p>
    <w:p w14:paraId="3E656208" w14:textId="77777777" w:rsidR="004A5180" w:rsidRPr="008E678C" w:rsidRDefault="004A5180" w:rsidP="004A5180">
      <w:pPr>
        <w:widowControl w:val="0"/>
        <w:suppressAutoHyphens/>
        <w:autoSpaceDN w:val="0"/>
        <w:spacing w:line="240" w:lineRule="auto"/>
        <w:jc w:val="both"/>
        <w:rPr>
          <w:rFonts w:ascii="Arial" w:eastAsia="SimSun" w:hAnsi="Arial" w:cs="Arial"/>
          <w:kern w:val="3"/>
          <w:sz w:val="18"/>
          <w:szCs w:val="18"/>
          <w:lang w:bidi="hi-IN"/>
        </w:rPr>
      </w:pPr>
      <w:r w:rsidRPr="008E678C">
        <w:rPr>
          <w:rFonts w:ascii="Arial" w:eastAsia="SimSun" w:hAnsi="Arial" w:cs="Arial"/>
          <w:kern w:val="3"/>
          <w:sz w:val="18"/>
          <w:szCs w:val="18"/>
          <w:lang w:bidi="hi-IN"/>
        </w:rPr>
        <w:t>The FSSTI Index increased 8.85% month-on-month to close the month of July 2026 at 5,628.50 points. YTD the index has increased 21.14%. The SGD appreciated 0.85% month-on-month against the USD and closed at SGD 1.28 for the month of July. YTD the SGD has appreciated 0.2% against the USD.</w:t>
      </w:r>
    </w:p>
    <w:p w14:paraId="526E9609" w14:textId="77777777" w:rsidR="004A5180" w:rsidRPr="008E678C" w:rsidRDefault="004A5180" w:rsidP="004A5180">
      <w:pPr>
        <w:widowControl w:val="0"/>
        <w:suppressAutoHyphens/>
        <w:autoSpaceDN w:val="0"/>
        <w:spacing w:line="240" w:lineRule="auto"/>
        <w:ind w:left="567" w:hanging="567"/>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Economic News</w:t>
      </w:r>
    </w:p>
    <w:p w14:paraId="777EBBE5" w14:textId="77777777" w:rsidR="004A5180" w:rsidRPr="008E678C" w:rsidRDefault="004A5180" w:rsidP="004A5180">
      <w:pPr>
        <w:widowControl w:val="0"/>
        <w:suppressAutoHyphens/>
        <w:autoSpaceDN w:val="0"/>
        <w:spacing w:line="240" w:lineRule="auto"/>
        <w:jc w:val="both"/>
        <w:rPr>
          <w:rFonts w:ascii="Arial" w:eastAsia="Times New Roman" w:hAnsi="Arial" w:cs="Arial"/>
          <w:color w:val="000000"/>
          <w:sz w:val="18"/>
          <w:szCs w:val="18"/>
          <w:lang w:eastAsia="en-MY"/>
        </w:rPr>
      </w:pPr>
      <w:r w:rsidRPr="008E678C">
        <w:rPr>
          <w:rFonts w:ascii="Arial" w:eastAsia="Times New Roman" w:hAnsi="Arial" w:cs="Arial"/>
          <w:color w:val="000000"/>
          <w:sz w:val="18"/>
          <w:szCs w:val="18"/>
          <w:lang w:eastAsia="en-MY"/>
        </w:rPr>
        <w:t xml:space="preserve">Based on advance estimates of Ministry of Trade and Industry from Singapore, Singapore’s economy grew 5.7% </w:t>
      </w:r>
      <w:proofErr w:type="spellStart"/>
      <w:r w:rsidRPr="008E678C">
        <w:rPr>
          <w:rFonts w:ascii="Arial" w:eastAsia="Times New Roman" w:hAnsi="Arial" w:cs="Arial"/>
          <w:color w:val="000000"/>
          <w:sz w:val="18"/>
          <w:szCs w:val="18"/>
          <w:lang w:eastAsia="en-MY"/>
        </w:rPr>
        <w:t>YoYin</w:t>
      </w:r>
      <w:proofErr w:type="spellEnd"/>
      <w:r w:rsidRPr="008E678C">
        <w:rPr>
          <w:rFonts w:ascii="Arial" w:eastAsia="Times New Roman" w:hAnsi="Arial" w:cs="Arial"/>
          <w:color w:val="000000"/>
          <w:sz w:val="18"/>
          <w:szCs w:val="18"/>
          <w:lang w:eastAsia="en-MY"/>
        </w:rPr>
        <w:t xml:space="preserve"> Q2 2026, slowing from an upwardly revised 6.3% expansion in Q1, which was the strongest annual growth since Q3 2024, but remaining above estimates of 5.5%, according to preliminary estimates. Growth was mainly supported by the goods-producing sectors (10.4% vs 8.4% in Q1), with manufacturing output surging 12.2%, accelerating from 8.0% in the previous quarter due to strong AI-related demand. Construction growth eased (6.2% vs 12.9%). Quarterly, GDP grew 1.1%, following an upwardly revised 1.3% expansion in Q1, marking the softest growth since Q1 2025.</w:t>
      </w:r>
    </w:p>
    <w:p w14:paraId="53FB3E38" w14:textId="77777777" w:rsidR="004A5180" w:rsidRPr="008E678C" w:rsidRDefault="004A5180" w:rsidP="004A5180">
      <w:pPr>
        <w:widowControl w:val="0"/>
        <w:suppressAutoHyphens/>
        <w:autoSpaceDN w:val="0"/>
        <w:spacing w:line="240" w:lineRule="auto"/>
        <w:jc w:val="both"/>
        <w:rPr>
          <w:rFonts w:ascii="Arial" w:eastAsia="Times New Roman" w:hAnsi="Arial" w:cs="Arial"/>
          <w:color w:val="000000"/>
          <w:sz w:val="18"/>
          <w:szCs w:val="18"/>
          <w:lang w:eastAsia="en-MY"/>
        </w:rPr>
      </w:pPr>
      <w:r w:rsidRPr="008E678C">
        <w:rPr>
          <w:rFonts w:ascii="Arial" w:eastAsia="Times New Roman" w:hAnsi="Arial" w:cs="Arial"/>
          <w:color w:val="000000"/>
          <w:sz w:val="18"/>
          <w:szCs w:val="18"/>
          <w:lang w:eastAsia="en-MY"/>
        </w:rPr>
        <w:t xml:space="preserve">According to Department of Statistic Singapore, Singapore’s non-oil domestic exports (NODX) grew 20.7% year-on-year in June 2026, moderating from a 38.4% jump in May, which was the fastest growth since December 2003, and falling short of forecasts of 30.2%. It was the tenth straight month of expansion, though the slowest growth since March, with electronics continuing to grow strongly (105.1% vs 94.8% in May), supported by robust AI-related demand. Electronic exports were driven mainly by disk media products (170.9%), ICs (115.4%), and PCs (95.8%). </w:t>
      </w:r>
    </w:p>
    <w:p w14:paraId="688ED843"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r w:rsidRPr="008E678C">
        <w:rPr>
          <w:rFonts w:ascii="Arial" w:eastAsia="Times New Roman" w:hAnsi="Arial" w:cs="Arial"/>
          <w:color w:val="000000"/>
          <w:sz w:val="18"/>
          <w:szCs w:val="18"/>
          <w:lang w:eastAsia="en-MY"/>
        </w:rPr>
        <w:lastRenderedPageBreak/>
        <w:t>According to Department of Statistic Singapore, Singapore’s inflation rose to 1.9% in June 2026 (May: 1.8%), the highest since Sep-24, driven by higher food, transport, and utility costs. Core inflation also increased to 1.6%, prompting MAS to raise its 2026 core inflation forecast to 1.5%-2.5%.</w:t>
      </w:r>
    </w:p>
    <w:p w14:paraId="4B0B6E16" w14:textId="77777777" w:rsidR="004A5180" w:rsidRPr="008E678C" w:rsidRDefault="004A5180" w:rsidP="004A5180">
      <w:pPr>
        <w:widowControl w:val="0"/>
        <w:suppressAutoHyphens/>
        <w:autoSpaceDN w:val="0"/>
        <w:spacing w:line="240" w:lineRule="auto"/>
        <w:ind w:left="567" w:hanging="567"/>
        <w:jc w:val="both"/>
        <w:rPr>
          <w:rFonts w:ascii="Arial" w:eastAsia="SimSun" w:hAnsi="Arial" w:cs="Arial"/>
          <w:b/>
          <w:kern w:val="3"/>
          <w:sz w:val="18"/>
          <w:szCs w:val="18"/>
          <w:u w:val="single"/>
          <w:lang w:bidi="hi-IN"/>
        </w:rPr>
      </w:pPr>
    </w:p>
    <w:p w14:paraId="108B237A" w14:textId="77777777" w:rsidR="004A5180" w:rsidRPr="008E678C" w:rsidRDefault="004A5180" w:rsidP="004A5180">
      <w:pPr>
        <w:widowControl w:val="0"/>
        <w:suppressAutoHyphens/>
        <w:autoSpaceDN w:val="0"/>
        <w:spacing w:line="240" w:lineRule="auto"/>
        <w:ind w:left="567" w:hanging="567"/>
        <w:jc w:val="both"/>
        <w:rPr>
          <w:rFonts w:ascii="Arial" w:eastAsia="SimSun" w:hAnsi="Arial" w:cs="Arial"/>
          <w:kern w:val="3"/>
          <w:sz w:val="18"/>
          <w:szCs w:val="18"/>
          <w:u w:val="single"/>
          <w:lang w:bidi="hi-IN"/>
        </w:rPr>
      </w:pPr>
      <w:r w:rsidRPr="008E678C">
        <w:rPr>
          <w:rFonts w:ascii="Arial" w:eastAsia="SimSun" w:hAnsi="Arial" w:cs="Arial"/>
          <w:b/>
          <w:kern w:val="3"/>
          <w:sz w:val="18"/>
          <w:szCs w:val="18"/>
          <w:u w:val="single"/>
          <w:lang w:bidi="hi-IN"/>
        </w:rPr>
        <w:t>Corporate News</w:t>
      </w:r>
      <w:r w:rsidRPr="008E678C">
        <w:rPr>
          <w:rFonts w:ascii="Arial" w:eastAsia="SimSun" w:hAnsi="Arial" w:cs="Arial"/>
          <w:kern w:val="3"/>
          <w:sz w:val="18"/>
          <w:szCs w:val="18"/>
          <w:u w:val="single"/>
          <w:lang w:bidi="hi-IN"/>
        </w:rPr>
        <w:t xml:space="preserve"> </w:t>
      </w:r>
    </w:p>
    <w:p w14:paraId="44DCBEDC" w14:textId="77777777" w:rsidR="004A5180" w:rsidRPr="008E678C" w:rsidRDefault="004A5180" w:rsidP="004A5180">
      <w:pPr>
        <w:widowControl w:val="0"/>
        <w:suppressAutoHyphens/>
        <w:autoSpaceDN w:val="0"/>
        <w:spacing w:line="240" w:lineRule="auto"/>
        <w:jc w:val="both"/>
        <w:rPr>
          <w:rFonts w:ascii="Arial" w:eastAsia="SimSun" w:hAnsi="Arial" w:cs="Arial"/>
          <w:kern w:val="3"/>
          <w:sz w:val="18"/>
          <w:szCs w:val="18"/>
          <w:lang w:bidi="hi-IN"/>
        </w:rPr>
      </w:pPr>
      <w:r w:rsidRPr="008E678C">
        <w:rPr>
          <w:rFonts w:ascii="Arial" w:eastAsia="SimSun" w:hAnsi="Arial" w:cs="Arial"/>
          <w:kern w:val="3"/>
          <w:sz w:val="18"/>
          <w:szCs w:val="18"/>
          <w:lang w:bidi="hi-IN"/>
        </w:rPr>
        <w:t xml:space="preserve">DBS is Southeast Asia’s largest bank with leading franchises across consumer banking, wealth management, institutional </w:t>
      </w:r>
      <w:proofErr w:type="gramStart"/>
      <w:r w:rsidRPr="008E678C">
        <w:rPr>
          <w:rFonts w:ascii="Arial" w:eastAsia="SimSun" w:hAnsi="Arial" w:cs="Arial"/>
          <w:kern w:val="3"/>
          <w:sz w:val="18"/>
          <w:szCs w:val="18"/>
          <w:lang w:bidi="hi-IN"/>
        </w:rPr>
        <w:t>banking</w:t>
      </w:r>
      <w:proofErr w:type="gramEnd"/>
      <w:r w:rsidRPr="008E678C">
        <w:rPr>
          <w:rFonts w:ascii="Arial" w:eastAsia="SimSun" w:hAnsi="Arial" w:cs="Arial"/>
          <w:kern w:val="3"/>
          <w:sz w:val="18"/>
          <w:szCs w:val="18"/>
          <w:lang w:bidi="hi-IN"/>
        </w:rPr>
        <w:t xml:space="preserve"> and treasury markets. The bank continues to benefit from its strong wealth management platform, resilient asset quality and capital management initiatives. CGSI expects 2Q26 net profit of SD2.9bn (+2.7% YoY), supported by elevated wealth management fees, stronger non-interest income and stable credit costs. Wealth management fees are expected to remain near record levels achieved in 1Q26, driving non-interest income growth despite softer net interest margins. Meanwhile, the pause in DBS's SD3billion share buyback programme leaves c.SD2.63billion of capital available, which could potentially be returned via special dividends by end-FY27. </w:t>
      </w:r>
    </w:p>
    <w:p w14:paraId="6392D8F5" w14:textId="77777777" w:rsidR="004A5180" w:rsidRPr="008E678C" w:rsidRDefault="004A5180" w:rsidP="004A5180">
      <w:pPr>
        <w:widowControl w:val="0"/>
        <w:suppressAutoHyphens/>
        <w:autoSpaceDN w:val="0"/>
        <w:spacing w:line="240" w:lineRule="auto"/>
        <w:jc w:val="both"/>
        <w:rPr>
          <w:rFonts w:ascii="Arial" w:eastAsia="SimSun" w:hAnsi="Arial" w:cs="Arial"/>
          <w:kern w:val="3"/>
          <w:sz w:val="18"/>
          <w:szCs w:val="18"/>
          <w:lang w:bidi="hi-IN"/>
        </w:rPr>
      </w:pPr>
      <w:r w:rsidRPr="008E678C">
        <w:rPr>
          <w:rFonts w:ascii="Arial" w:eastAsia="SimSun" w:hAnsi="Arial" w:cs="Arial"/>
          <w:kern w:val="3"/>
          <w:sz w:val="18"/>
          <w:szCs w:val="18"/>
          <w:lang w:bidi="hi-IN"/>
        </w:rPr>
        <w:t xml:space="preserve">Sheng </w:t>
      </w:r>
      <w:proofErr w:type="spellStart"/>
      <w:r w:rsidRPr="008E678C">
        <w:rPr>
          <w:rFonts w:ascii="Arial" w:eastAsia="SimSun" w:hAnsi="Arial" w:cs="Arial"/>
          <w:kern w:val="3"/>
          <w:sz w:val="18"/>
          <w:szCs w:val="18"/>
          <w:lang w:bidi="hi-IN"/>
        </w:rPr>
        <w:t>Siong</w:t>
      </w:r>
      <w:proofErr w:type="spellEnd"/>
      <w:r w:rsidRPr="008E678C">
        <w:rPr>
          <w:rFonts w:ascii="Arial" w:eastAsia="SimSun" w:hAnsi="Arial" w:cs="Arial"/>
          <w:kern w:val="3"/>
          <w:sz w:val="18"/>
          <w:szCs w:val="18"/>
          <w:lang w:bidi="hi-IN"/>
        </w:rPr>
        <w:t xml:space="preserve"> Group operates the third-largest supermarket chain in Singapore, catering primarily to the mass market value segment with 87 suburban outlets as of FY25. The company utilizes an efficient, domestic retail model supported by its central distribution facilities to procure and sell essential consumer goods, fresh groceries, and proprietary budget alternatives. Sheng </w:t>
      </w:r>
      <w:proofErr w:type="spellStart"/>
      <w:r w:rsidRPr="008E678C">
        <w:rPr>
          <w:rFonts w:ascii="Arial" w:eastAsia="SimSun" w:hAnsi="Arial" w:cs="Arial"/>
          <w:kern w:val="3"/>
          <w:sz w:val="18"/>
          <w:szCs w:val="18"/>
          <w:lang w:bidi="hi-IN"/>
        </w:rPr>
        <w:t>Siong</w:t>
      </w:r>
      <w:proofErr w:type="spellEnd"/>
      <w:r w:rsidRPr="008E678C">
        <w:rPr>
          <w:rFonts w:ascii="Arial" w:eastAsia="SimSun" w:hAnsi="Arial" w:cs="Arial"/>
          <w:kern w:val="3"/>
          <w:sz w:val="18"/>
          <w:szCs w:val="18"/>
          <w:lang w:bidi="hi-IN"/>
        </w:rPr>
        <w:t xml:space="preserve"> is successfully executing an aggressive network expansion strategy that is significantly outpacing initial market expectations to drive immediate revenue gains. The company is driving strong near-term earnings performance by unlocking full 12-month contributions from a record 12 new stores opened in FY25, while simultaneously securing at least seven additional outlets ahead of schedule in 2026 to comfortably raise its long-term revenue base. The business is entering a major infrastructure scaling phase with the groundbreaking of its brand-new Distribution Centre in mid-July 2026, which is strategically built to expand its maximum capacity to 120 stores over the long term. </w:t>
      </w:r>
    </w:p>
    <w:p w14:paraId="139A2372" w14:textId="77777777" w:rsidR="004A5180" w:rsidRPr="008E678C" w:rsidRDefault="004A5180" w:rsidP="004A5180">
      <w:pPr>
        <w:widowControl w:val="0"/>
        <w:suppressAutoHyphens/>
        <w:autoSpaceDN w:val="0"/>
        <w:spacing w:line="240" w:lineRule="auto"/>
        <w:jc w:val="both"/>
        <w:rPr>
          <w:rFonts w:ascii="Arial" w:eastAsia="SimSun" w:hAnsi="Arial" w:cs="Arial"/>
          <w:kern w:val="3"/>
          <w:sz w:val="18"/>
          <w:szCs w:val="18"/>
          <w:lang w:bidi="hi-IN"/>
        </w:rPr>
      </w:pPr>
      <w:proofErr w:type="spellStart"/>
      <w:r w:rsidRPr="008E678C">
        <w:rPr>
          <w:rFonts w:ascii="Arial" w:eastAsia="SimSun" w:hAnsi="Arial" w:cs="Arial"/>
          <w:kern w:val="3"/>
          <w:sz w:val="18"/>
          <w:szCs w:val="18"/>
          <w:lang w:bidi="hi-IN"/>
        </w:rPr>
        <w:t>Yangzijiang</w:t>
      </w:r>
      <w:proofErr w:type="spellEnd"/>
      <w:r w:rsidRPr="008E678C">
        <w:rPr>
          <w:rFonts w:ascii="Arial" w:eastAsia="SimSun" w:hAnsi="Arial" w:cs="Arial"/>
          <w:kern w:val="3"/>
          <w:sz w:val="18"/>
          <w:szCs w:val="18"/>
          <w:lang w:bidi="hi-IN"/>
        </w:rPr>
        <w:t xml:space="preserve"> Shipbuilding is one of China's largest private shipbuilders, specialising in containerships, LNG dual-fuel vessels, bulk carriers, </w:t>
      </w:r>
      <w:proofErr w:type="gramStart"/>
      <w:r w:rsidRPr="008E678C">
        <w:rPr>
          <w:rFonts w:ascii="Arial" w:eastAsia="SimSun" w:hAnsi="Arial" w:cs="Arial"/>
          <w:kern w:val="3"/>
          <w:sz w:val="18"/>
          <w:szCs w:val="18"/>
          <w:lang w:bidi="hi-IN"/>
        </w:rPr>
        <w:t>tankers</w:t>
      </w:r>
      <w:proofErr w:type="gramEnd"/>
      <w:r w:rsidRPr="008E678C">
        <w:rPr>
          <w:rFonts w:ascii="Arial" w:eastAsia="SimSun" w:hAnsi="Arial" w:cs="Arial"/>
          <w:kern w:val="3"/>
          <w:sz w:val="18"/>
          <w:szCs w:val="18"/>
          <w:lang w:bidi="hi-IN"/>
        </w:rPr>
        <w:t xml:space="preserve"> and gas carriers. The company is benefiting from deliveries of higher-margin vessels secured during the post-2023 upcycle when newbuild prices rose significantly. The net profit growth in 1H26 will be driven by deliveries of large vessels including 24,000 TEU LNG dual-fuel containerships and very large ethane carriers (VLECs). The company continues to enjoy robust order visibility, supported by a sizeable orderbook extending into 2029-30 and ongoing capacity expansion at its </w:t>
      </w:r>
      <w:proofErr w:type="spellStart"/>
      <w:r w:rsidRPr="008E678C">
        <w:rPr>
          <w:rFonts w:ascii="Arial" w:eastAsia="SimSun" w:hAnsi="Arial" w:cs="Arial"/>
          <w:kern w:val="3"/>
          <w:sz w:val="18"/>
          <w:szCs w:val="18"/>
          <w:lang w:bidi="hi-IN"/>
        </w:rPr>
        <w:t>Hongyuan</w:t>
      </w:r>
      <w:proofErr w:type="spellEnd"/>
      <w:r w:rsidRPr="008E678C">
        <w:rPr>
          <w:rFonts w:ascii="Arial" w:eastAsia="SimSun" w:hAnsi="Arial" w:cs="Arial"/>
          <w:kern w:val="3"/>
          <w:sz w:val="18"/>
          <w:szCs w:val="18"/>
          <w:lang w:bidi="hi-IN"/>
        </w:rPr>
        <w:t xml:space="preserve"> yard. In addition, its fleet of 31 vessels is expected to benefit from stronger freight rates amid disruptions from the Middle East conflict.</w:t>
      </w:r>
    </w:p>
    <w:p w14:paraId="1B4E8A3C"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p>
    <w:p w14:paraId="2F19CDA8"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Outlook</w:t>
      </w:r>
    </w:p>
    <w:p w14:paraId="0BF35FCE" w14:textId="77777777" w:rsidR="004A5180" w:rsidRPr="008E678C" w:rsidRDefault="004A5180" w:rsidP="004A5180">
      <w:pPr>
        <w:spacing w:line="240" w:lineRule="auto"/>
        <w:jc w:val="both"/>
        <w:rPr>
          <w:rFonts w:ascii="Arial" w:eastAsia="SimSun" w:hAnsi="Arial" w:cs="Arial"/>
          <w:b/>
          <w:sz w:val="18"/>
          <w:szCs w:val="18"/>
          <w:u w:val="single"/>
        </w:rPr>
      </w:pPr>
      <w:r w:rsidRPr="008E678C">
        <w:rPr>
          <w:rFonts w:ascii="Arial" w:eastAsia="Times New Roman" w:hAnsi="Arial" w:cs="Arial"/>
          <w:color w:val="000000"/>
          <w:sz w:val="18"/>
          <w:szCs w:val="18"/>
          <w:lang w:eastAsia="en-MY"/>
        </w:rPr>
        <w:t>The Singapore equity market is transitioning into a consolidation phase after a stellar 2025, during which the Equity Market Development Programme (EQDP) contributed to a 22.67% re-rating of the STI. However, with GDP growth expected to moderate from 5% in 2025 to 2%–4% in 2026, the focus has shifted from broad-based momentum to selective quality. Given heightened geopolitical risks in the Middle East and uncertainty surrounding the US rate cycle, a cautious but opportunistic stance remains prudent. Bloomberg consensus forecasts STI EPS growth of 8.61% in 2026 and 8.21% in 2027. Despite the healthy earnings outlook, the STI is currently trading at 17.4x 2026 P/E, around 30% above its 10-year median of 13.39x. Notably, the STI's historical peak valuation was approximately 18x (excluding the Covid period), only marginally above current levels. As such, current valuations appear less compelling relative to historical levels.</w:t>
      </w:r>
    </w:p>
    <w:p w14:paraId="12AF170A" w14:textId="77777777" w:rsidR="004A5180" w:rsidRPr="008E678C" w:rsidRDefault="004A5180" w:rsidP="004A5180">
      <w:pPr>
        <w:spacing w:line="240" w:lineRule="auto"/>
        <w:jc w:val="both"/>
        <w:rPr>
          <w:rFonts w:ascii="Arial" w:eastAsia="SimSun" w:hAnsi="Arial" w:cs="Arial"/>
          <w:b/>
          <w:sz w:val="18"/>
          <w:szCs w:val="18"/>
          <w:u w:val="single"/>
        </w:rPr>
      </w:pPr>
    </w:p>
    <w:p w14:paraId="62138CC2" w14:textId="77777777" w:rsidR="004A5180" w:rsidRPr="008E678C" w:rsidRDefault="004A5180" w:rsidP="004A5180">
      <w:pPr>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THAILAND</w:t>
      </w:r>
    </w:p>
    <w:p w14:paraId="230BDC2C"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Market Summary</w:t>
      </w:r>
    </w:p>
    <w:p w14:paraId="190A5AD4" w14:textId="77777777" w:rsidR="004A5180" w:rsidRPr="008E678C" w:rsidRDefault="004A5180" w:rsidP="004A5180">
      <w:pPr>
        <w:widowControl w:val="0"/>
        <w:suppressAutoHyphens/>
        <w:autoSpaceDN w:val="0"/>
        <w:spacing w:line="240" w:lineRule="auto"/>
        <w:jc w:val="both"/>
        <w:rPr>
          <w:rFonts w:ascii="Arial" w:eastAsia="SimSun" w:hAnsi="Arial" w:cs="Arial"/>
          <w:bCs/>
          <w:kern w:val="3"/>
          <w:sz w:val="18"/>
          <w:szCs w:val="18"/>
          <w:lang w:bidi="hi-IN"/>
        </w:rPr>
      </w:pPr>
      <w:bookmarkStart w:id="0" w:name="_Hlk211240729"/>
      <w:r w:rsidRPr="008E678C">
        <w:rPr>
          <w:rFonts w:ascii="Arial" w:eastAsia="SimSun" w:hAnsi="Arial" w:cs="Arial"/>
          <w:bCs/>
          <w:kern w:val="3"/>
          <w:sz w:val="18"/>
          <w:szCs w:val="18"/>
          <w:lang w:bidi="hi-IN"/>
        </w:rPr>
        <w:t>The Thai SET Index gained 2.04% month-on-month to close the month of July 2026 at 1623.64 points. YTD the index has gained 28.89%. Thai baht flat 0.66% month-on-month against the USD and closed at 33.44 THB for the month of July.</w:t>
      </w:r>
    </w:p>
    <w:bookmarkEnd w:id="0"/>
    <w:p w14:paraId="3D4B3E7F"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Economic News</w:t>
      </w:r>
    </w:p>
    <w:p w14:paraId="0AA972EB" w14:textId="77777777" w:rsidR="004A5180" w:rsidRPr="008E678C" w:rsidRDefault="004A5180" w:rsidP="004A5180">
      <w:pPr>
        <w:widowControl w:val="0"/>
        <w:suppressAutoHyphens/>
        <w:autoSpaceDN w:val="0"/>
        <w:spacing w:line="240" w:lineRule="auto"/>
        <w:jc w:val="both"/>
        <w:rPr>
          <w:rFonts w:ascii="Arial" w:eastAsia="SimSun" w:hAnsi="Arial" w:cs="Arial"/>
          <w:bCs/>
          <w:kern w:val="3"/>
          <w:sz w:val="18"/>
          <w:szCs w:val="18"/>
          <w:lang w:eastAsia="en-MY" w:bidi="hi-IN"/>
        </w:rPr>
      </w:pPr>
      <w:r w:rsidRPr="008E678C">
        <w:rPr>
          <w:rFonts w:ascii="Arial" w:eastAsia="SimSun" w:hAnsi="Arial" w:cs="Arial"/>
          <w:bCs/>
          <w:kern w:val="3"/>
          <w:sz w:val="18"/>
          <w:szCs w:val="18"/>
          <w:lang w:eastAsia="en-MY" w:bidi="hi-IN"/>
        </w:rPr>
        <w:t xml:space="preserve">According to ministry of commerce, Thailand recorded a USD6.53billion trade deficit in June 2026, compared with a USD1.06billion surplus a year earlier, marking the ninth consecutive monthly deficit and exceeding market expectations. The shortfall was driven by a sharp 50.3% YoY increase in imports, the fastest growth since June 2021, supported by government stimulus measures that boosted consumption and investment. Meanwhile, exports grew 20.8% YoY, accelerating from 10.6% in May and surpassing forecasts, mainly driven by a 25.1% increase in industrial product exports. Shipments to key markets remained strong, led by the US (+44.3%), Japan (+22.7%), and China (+4.9%). </w:t>
      </w:r>
    </w:p>
    <w:p w14:paraId="21AA609D" w14:textId="77777777" w:rsidR="004A5180" w:rsidRPr="008E678C" w:rsidRDefault="004A5180" w:rsidP="004A5180">
      <w:pPr>
        <w:widowControl w:val="0"/>
        <w:suppressAutoHyphens/>
        <w:autoSpaceDN w:val="0"/>
        <w:spacing w:line="240" w:lineRule="auto"/>
        <w:jc w:val="both"/>
        <w:rPr>
          <w:rFonts w:ascii="Arial" w:eastAsia="SimSun" w:hAnsi="Arial" w:cs="Arial"/>
          <w:bCs/>
          <w:kern w:val="3"/>
          <w:sz w:val="18"/>
          <w:szCs w:val="18"/>
          <w:lang w:eastAsia="en-MY" w:bidi="hi-IN"/>
        </w:rPr>
      </w:pPr>
      <w:r w:rsidRPr="008E678C">
        <w:rPr>
          <w:rFonts w:ascii="Arial" w:eastAsia="SimSun" w:hAnsi="Arial" w:cs="Arial"/>
          <w:bCs/>
          <w:kern w:val="3"/>
          <w:sz w:val="18"/>
          <w:szCs w:val="18"/>
          <w:lang w:eastAsia="en-MY" w:bidi="hi-IN"/>
        </w:rPr>
        <w:lastRenderedPageBreak/>
        <w:t xml:space="preserve">According to the Federation of Thai Industries (FTI), Thailand’s domestic car sales rose 17.3% YoY to 61,244 units in June 2026, marking a five-month high and the fourth consecutive month of growth, supported by improving consumer demand. However, vehicle production declined 7.6% YoY to 120,391 units, although the pace of contraction moderated from May. To support the automotive sector and accelerate EV adoption, the government is reviewing a THB24billion incentive programme to replace ageing vehicles with EVs and may expand incentives to cover all EV purchases. Looking ahead, FTI expects vehicle production to increase 3% in 2026 to 1.5 million units. Meanwhile, Thailand’s strong export momentum, particularly to the US and China, could provide additional support to the auto industry. </w:t>
      </w:r>
    </w:p>
    <w:p w14:paraId="20492634" w14:textId="77777777" w:rsidR="004A5180" w:rsidRPr="008E678C" w:rsidRDefault="004A5180" w:rsidP="004A5180">
      <w:pPr>
        <w:widowControl w:val="0"/>
        <w:suppressAutoHyphens/>
        <w:autoSpaceDN w:val="0"/>
        <w:spacing w:line="240" w:lineRule="auto"/>
        <w:jc w:val="both"/>
        <w:rPr>
          <w:rFonts w:ascii="Arial" w:eastAsia="SimSun" w:hAnsi="Arial" w:cs="Arial"/>
          <w:bCs/>
          <w:kern w:val="3"/>
          <w:sz w:val="18"/>
          <w:szCs w:val="18"/>
          <w:lang w:eastAsia="en-MY" w:bidi="hi-IN"/>
        </w:rPr>
      </w:pPr>
      <w:r w:rsidRPr="008E678C">
        <w:rPr>
          <w:rFonts w:ascii="Arial" w:eastAsia="SimSun" w:hAnsi="Arial" w:cs="Arial"/>
          <w:bCs/>
          <w:kern w:val="3"/>
          <w:sz w:val="18"/>
          <w:szCs w:val="18"/>
          <w:lang w:eastAsia="en-MY" w:bidi="hi-IN"/>
        </w:rPr>
        <w:t>Thailand’s industrial production declined 3.1% YoY in June 2026, following a revised 1.3% decline in May, marking the third straight month of contraction and the sharpest drop since November. The weakness was driven by lower output of automobiles (-12.6%), petroleum products (-8.0%), apparel (-9.0%), and palm oil (-33.2%), amid higher oil prices and freight costs linked to Middle East tensions. However, growth in electronics demand helped cushion the decline, with computer and peripheral production rising 2.5%. Industrial output fell 0.4% in 1H26, while the Industry Ministry maintained its 2026 growth forecast of 1%-2%.</w:t>
      </w:r>
    </w:p>
    <w:p w14:paraId="314B5117"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p>
    <w:p w14:paraId="31729BAD"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Corporate News</w:t>
      </w:r>
    </w:p>
    <w:p w14:paraId="14CAF7CB" w14:textId="77777777" w:rsidR="004A5180" w:rsidRPr="008E678C" w:rsidRDefault="004A5180" w:rsidP="004A5180">
      <w:pPr>
        <w:widowControl w:val="0"/>
        <w:suppressAutoHyphens/>
        <w:autoSpaceDN w:val="0"/>
        <w:spacing w:line="240" w:lineRule="auto"/>
        <w:jc w:val="both"/>
        <w:rPr>
          <w:rFonts w:ascii="Arial" w:eastAsia="SimSun" w:hAnsi="Arial" w:cs="Arial"/>
          <w:sz w:val="18"/>
          <w:szCs w:val="18"/>
        </w:rPr>
      </w:pPr>
      <w:proofErr w:type="spellStart"/>
      <w:r w:rsidRPr="008E678C">
        <w:rPr>
          <w:rFonts w:ascii="Arial" w:eastAsia="SimSun" w:hAnsi="Arial" w:cs="Arial"/>
          <w:sz w:val="18"/>
          <w:szCs w:val="18"/>
        </w:rPr>
        <w:t>TMBThanachart</w:t>
      </w:r>
      <w:proofErr w:type="spellEnd"/>
      <w:r w:rsidRPr="008E678C">
        <w:rPr>
          <w:rFonts w:ascii="Arial" w:eastAsia="SimSun" w:hAnsi="Arial" w:cs="Arial"/>
          <w:sz w:val="18"/>
          <w:szCs w:val="18"/>
        </w:rPr>
        <w:t xml:space="preserve"> Bank’s 2Q26 net profit rose 10.1% YoY and 6.5% </w:t>
      </w:r>
      <w:proofErr w:type="spellStart"/>
      <w:r w:rsidRPr="008E678C">
        <w:rPr>
          <w:rFonts w:ascii="Arial" w:eastAsia="SimSun" w:hAnsi="Arial" w:cs="Arial"/>
          <w:sz w:val="18"/>
          <w:szCs w:val="18"/>
        </w:rPr>
        <w:t>QoQ</w:t>
      </w:r>
      <w:proofErr w:type="spellEnd"/>
      <w:r w:rsidRPr="008E678C">
        <w:rPr>
          <w:rFonts w:ascii="Arial" w:eastAsia="SimSun" w:hAnsi="Arial" w:cs="Arial"/>
          <w:sz w:val="18"/>
          <w:szCs w:val="18"/>
        </w:rPr>
        <w:t xml:space="preserve"> to THB5.5billion. 1H26 earnings reached THB10.7billion. The earnings beat was driven mainly by strong fee income growth from mutual funds, credit cards, bancassurance, and guarantee fees, while NIM improved due to lower funding costs. Loan growth remained weak, with declines in auto and SME loans, and management remains cautious on SME lending. </w:t>
      </w:r>
    </w:p>
    <w:p w14:paraId="4990E636" w14:textId="77777777" w:rsidR="004A5180" w:rsidRPr="008E678C" w:rsidRDefault="004A5180" w:rsidP="004A5180">
      <w:pPr>
        <w:widowControl w:val="0"/>
        <w:suppressAutoHyphens/>
        <w:autoSpaceDN w:val="0"/>
        <w:spacing w:line="240" w:lineRule="auto"/>
        <w:jc w:val="both"/>
        <w:rPr>
          <w:rFonts w:ascii="Arial" w:eastAsia="SimSun" w:hAnsi="Arial" w:cs="Arial"/>
          <w:sz w:val="18"/>
          <w:szCs w:val="18"/>
        </w:rPr>
      </w:pPr>
      <w:r w:rsidRPr="008E678C">
        <w:rPr>
          <w:rFonts w:ascii="Arial" w:eastAsia="SimSun" w:hAnsi="Arial" w:cs="Arial"/>
          <w:sz w:val="18"/>
          <w:szCs w:val="18"/>
        </w:rPr>
        <w:t xml:space="preserve">HMPRO reported 2Q26 net profit of THB1.59billion, up 13.9% YoY and 13.5% </w:t>
      </w:r>
      <w:proofErr w:type="spellStart"/>
      <w:r w:rsidRPr="008E678C">
        <w:rPr>
          <w:rFonts w:ascii="Arial" w:eastAsia="SimSun" w:hAnsi="Arial" w:cs="Arial"/>
          <w:sz w:val="18"/>
          <w:szCs w:val="18"/>
        </w:rPr>
        <w:t>QoQ</w:t>
      </w:r>
      <w:proofErr w:type="spellEnd"/>
      <w:r w:rsidRPr="008E678C">
        <w:rPr>
          <w:rFonts w:ascii="Arial" w:eastAsia="SimSun" w:hAnsi="Arial" w:cs="Arial"/>
          <w:sz w:val="18"/>
          <w:szCs w:val="18"/>
        </w:rPr>
        <w:t xml:space="preserve">. Gross margin improved on inventory gains and a higher contribution from house-brand products, particularly at </w:t>
      </w:r>
      <w:proofErr w:type="spellStart"/>
      <w:r w:rsidRPr="008E678C">
        <w:rPr>
          <w:rFonts w:ascii="Arial" w:eastAsia="SimSun" w:hAnsi="Arial" w:cs="Arial"/>
          <w:sz w:val="18"/>
          <w:szCs w:val="18"/>
        </w:rPr>
        <w:t>MegaHome</w:t>
      </w:r>
      <w:proofErr w:type="spellEnd"/>
      <w:r w:rsidRPr="008E678C">
        <w:rPr>
          <w:rFonts w:ascii="Arial" w:eastAsia="SimSun" w:hAnsi="Arial" w:cs="Arial"/>
          <w:sz w:val="18"/>
          <w:szCs w:val="18"/>
        </w:rPr>
        <w:t>. However, demand remained soft, with largely flat or negative same-store sales growth across key markets, indicating continued pressure on sales volumes. Operating costs also increased, with SG&amp;A expenses rising 9.2% YoY. Meanwhile, net gearing rose to 0.86x, raising concerns over dividend sustainability.</w:t>
      </w:r>
    </w:p>
    <w:p w14:paraId="56DC79B0" w14:textId="77777777" w:rsidR="004A5180" w:rsidRPr="008E678C" w:rsidRDefault="004A5180" w:rsidP="004A5180">
      <w:pPr>
        <w:widowControl w:val="0"/>
        <w:suppressAutoHyphens/>
        <w:autoSpaceDN w:val="0"/>
        <w:spacing w:line="240" w:lineRule="auto"/>
        <w:jc w:val="both"/>
        <w:rPr>
          <w:rFonts w:ascii="Arial" w:eastAsia="SimSun" w:hAnsi="Arial" w:cs="Arial"/>
          <w:sz w:val="18"/>
          <w:szCs w:val="18"/>
        </w:rPr>
      </w:pPr>
      <w:r w:rsidRPr="008E678C">
        <w:rPr>
          <w:rFonts w:ascii="Arial" w:eastAsia="SimSun" w:hAnsi="Arial" w:cs="Arial"/>
          <w:sz w:val="18"/>
          <w:szCs w:val="18"/>
        </w:rPr>
        <w:t xml:space="preserve">DELTA reported 2Q26 net profit of Bt6.08billion, up 31% YoY but down 33% </w:t>
      </w:r>
      <w:proofErr w:type="spellStart"/>
      <w:r w:rsidRPr="008E678C">
        <w:rPr>
          <w:rFonts w:ascii="Arial" w:eastAsia="SimSun" w:hAnsi="Arial" w:cs="Arial"/>
          <w:sz w:val="18"/>
          <w:szCs w:val="18"/>
        </w:rPr>
        <w:t>QoQ</w:t>
      </w:r>
      <w:proofErr w:type="spellEnd"/>
      <w:r w:rsidRPr="008E678C">
        <w:rPr>
          <w:rFonts w:ascii="Arial" w:eastAsia="SimSun" w:hAnsi="Arial" w:cs="Arial"/>
          <w:sz w:val="18"/>
          <w:szCs w:val="18"/>
        </w:rPr>
        <w:t>, while revenue grew 46.5% YoY to Bt65.2billion, sales were slightly below forecasts as material shortages delayed order deliveries from 2Q26 into 2H26. Gross margin fell sharply to 26.8% from 31.7% in 1Q26, affected by higher raw material costs, urgent sourcing from secondary markets, inventory provisions related to delayed customer orders, and an unfavourable product mix.</w:t>
      </w:r>
    </w:p>
    <w:p w14:paraId="63352722"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sz w:val="18"/>
          <w:szCs w:val="18"/>
        </w:rPr>
        <w:t xml:space="preserve">I-Tail Corporation reported 2Q26 net profit of Bt844million, rose 21% YoY and down 3% </w:t>
      </w:r>
      <w:proofErr w:type="spellStart"/>
      <w:r w:rsidRPr="008E678C">
        <w:rPr>
          <w:rFonts w:ascii="Arial" w:eastAsia="SimSun" w:hAnsi="Arial" w:cs="Arial"/>
          <w:sz w:val="18"/>
          <w:szCs w:val="18"/>
        </w:rPr>
        <w:t>QoQ</w:t>
      </w:r>
      <w:proofErr w:type="spellEnd"/>
      <w:r w:rsidRPr="008E678C">
        <w:rPr>
          <w:rFonts w:ascii="Arial" w:eastAsia="SimSun" w:hAnsi="Arial" w:cs="Arial"/>
          <w:sz w:val="18"/>
          <w:szCs w:val="18"/>
        </w:rPr>
        <w:t xml:space="preserve">. Excluding one-off items, normalized core profit was Bt725million, up 2% YoY down 19% </w:t>
      </w:r>
      <w:proofErr w:type="spellStart"/>
      <w:r w:rsidRPr="008E678C">
        <w:rPr>
          <w:rFonts w:ascii="Arial" w:eastAsia="SimSun" w:hAnsi="Arial" w:cs="Arial"/>
          <w:sz w:val="18"/>
          <w:szCs w:val="18"/>
        </w:rPr>
        <w:t>QoQ</w:t>
      </w:r>
      <w:proofErr w:type="spellEnd"/>
      <w:r w:rsidRPr="008E678C">
        <w:rPr>
          <w:rFonts w:ascii="Arial" w:eastAsia="SimSun" w:hAnsi="Arial" w:cs="Arial"/>
          <w:sz w:val="18"/>
          <w:szCs w:val="18"/>
        </w:rPr>
        <w:t>. Normalized sales rose 9% YoY to Bt4.9billion, driven by pet treats which up 62% YoY, while the Americas remained the key growth market. Gross margin eased to 24.0% due to higher packaging and raw material costs, while SG&amp;A increased on freight and expansion-related expenses.</w:t>
      </w:r>
    </w:p>
    <w:p w14:paraId="092B2729"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p>
    <w:p w14:paraId="578A0145"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Outlook</w:t>
      </w:r>
    </w:p>
    <w:p w14:paraId="645FA8CE"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u w:val="single"/>
        </w:rPr>
      </w:pPr>
      <w:r w:rsidRPr="008E678C">
        <w:rPr>
          <w:rFonts w:ascii="Arial" w:hAnsi="Arial" w:cs="Arial"/>
          <w:sz w:val="18"/>
          <w:szCs w:val="18"/>
        </w:rPr>
        <w:t>The outlook for Thailand in 2H2026 turned neutral with Infrastructure themes, targeted relieved programme, subsidized energy prices, and approved an emergency borrowing packaging despite with ongoing geopolitical risks, specifically US-Iran tensions, threaten to spike oil prices, fuel inflation, and weaken the Baht. Arrival of new government brought some confidence in the investors. The policy environment highly supportive measures like the “Half-half Plus” scheme for domestic stimulus builds, and Mega infrastructure project especially on AI.</w:t>
      </w:r>
    </w:p>
    <w:p w14:paraId="44DBC086"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u w:val="single"/>
        </w:rPr>
      </w:pPr>
    </w:p>
    <w:p w14:paraId="3D75BEC7"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rPr>
      </w:pPr>
      <w:r w:rsidRPr="008E678C">
        <w:rPr>
          <w:rFonts w:ascii="Arial" w:eastAsia="SimSun" w:hAnsi="Arial" w:cs="Arial"/>
          <w:b/>
          <w:sz w:val="18"/>
          <w:szCs w:val="18"/>
          <w:u w:val="single"/>
        </w:rPr>
        <w:t>PHILIPPINES</w:t>
      </w:r>
    </w:p>
    <w:p w14:paraId="6924B9EC"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Market Summary</w:t>
      </w:r>
    </w:p>
    <w:p w14:paraId="40FD8693" w14:textId="77777777" w:rsidR="004A5180" w:rsidRPr="008E678C" w:rsidRDefault="004A5180" w:rsidP="004A5180">
      <w:pPr>
        <w:widowControl w:val="0"/>
        <w:suppressAutoHyphens/>
        <w:autoSpaceDN w:val="0"/>
        <w:spacing w:line="256" w:lineRule="auto"/>
        <w:jc w:val="both"/>
        <w:rPr>
          <w:rFonts w:ascii="Arial" w:eastAsia="SimSun" w:hAnsi="Arial" w:cs="Arial"/>
          <w:kern w:val="3"/>
          <w:sz w:val="18"/>
          <w:szCs w:val="18"/>
          <w:lang w:bidi="hi-IN"/>
        </w:rPr>
      </w:pPr>
      <w:r w:rsidRPr="008E678C">
        <w:rPr>
          <w:rFonts w:ascii="Arial" w:eastAsia="SimSun" w:hAnsi="Arial" w:cs="Arial"/>
          <w:kern w:val="3"/>
          <w:sz w:val="18"/>
          <w:szCs w:val="18"/>
          <w:lang w:bidi="hi-IN"/>
        </w:rPr>
        <w:t>The PSEI Index increased 3.30% in July 2026 at 6,236.44 points. The Peso appreciated 0.68% against the USD and closed at PHP61.68 in July.</w:t>
      </w:r>
    </w:p>
    <w:p w14:paraId="59208832" w14:textId="77777777" w:rsidR="004A5180" w:rsidRPr="008E678C" w:rsidRDefault="004A5180" w:rsidP="004A5180">
      <w:pPr>
        <w:autoSpaceDE w:val="0"/>
        <w:autoSpaceDN w:val="0"/>
        <w:adjustRightInd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Economic News</w:t>
      </w:r>
    </w:p>
    <w:p w14:paraId="5015DB5A"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The Philippine government revised its 2026 GDP growth target downward to 3.5%-4.5% from 5.0%-6.0% previously, reflecting a more challenging economic environment. Medium-term growth targets were also lowered to 5.0%-6.0% for 2027-2030, compared with previous targets of 5.5%-6.5% for 2027 and 6.0%-7.0% for 2028-2030.</w:t>
      </w:r>
    </w:p>
    <w:p w14:paraId="718CE8D4"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lastRenderedPageBreak/>
        <w:t>Inflation expectations have been revised higher, with headline inflation projected at 6.0%-7.0% in 2026 and 4.0%-5.0% in 2027, above the previous assumption of 2.0%-4.0%. The original inflation target range is expected to be achieved only from 2028 onwards. In July, headline inflation eased to 6.5%, while core inflation increased to 4.4%, with both remaining above the BSP's 2%-4% target range, reinforcing expectations of a further 25bps policy rate hike to 5.0%.</w:t>
      </w:r>
    </w:p>
    <w:p w14:paraId="45CD04C0"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Fiscal and external sector indicators remain under pressure. The 2026 budget deficit is projected at 5.4% of GDP, slightly above the previous estimate of 5.3%, while the 2027 deficit is expected at 5.1%, compared with 4.8% previously. The BSP now forecasts a current account deficit of USD18.0billion (3.6% of GDP) in 2026 and USD19.7billion (3.7% of GDP) in 2027. Meanwhile, the balance of payments deficit is projected at USD10.7billion in 2026 and USD11.0billion in 2027, equivalent to 2.1% of GDP in both years. Gross international reserves forecasts were also revised lower to USD104billion for 2026 and USD105billion for 2027.</w:t>
      </w:r>
    </w:p>
    <w:p w14:paraId="653C1DC7"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On the policy front, following the tax relief measures announced by President Ferdinand Marcos Jr. during the State of the Nation Address (SONA), the House Committee on Ways and Means plans to introduce additional revenue measures to help offset the resulting fiscal impact.</w:t>
      </w:r>
    </w:p>
    <w:p w14:paraId="4E4F47F0"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Infrastructure development remains supportive of long-term growth, with the Department of Transportation reaffirming that San Miguel Corporation's MRT-7 project is expected to commence operations in 1H27. The project is currently 86% complete, with testing progress approaching 50%.</w:t>
      </w:r>
    </w:p>
    <w:p w14:paraId="5287AA90"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The Philippines Manufacturing PMI rose to 52.9 in July from 51.8 in June, marking the third consecutive month of improvement and the strongest reading since February. Growth was driven by stronger new orders (54.2) and production (53.0), supported by healthier domestic demand and new project wins. Firms also increased purchasing activity to meet higher production requirements.</w:t>
      </w:r>
    </w:p>
    <w:p w14:paraId="39A73120"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The Filipino manufacturing sector began 2H26 in good shape (+1.1 to 52.9), as growth in new orders (+2.3pts to 54.2) and production (+2.1pts to 53.0) rose to the highest levels since the conflict in the Middle East broke up in February. The headline index has now increase for three consecutive months and is broadly in line with the long-run average. Filipino manufacturers reported stronger underlying demand and project wins supported the latest increase in new growth.</w:t>
      </w:r>
    </w:p>
    <w:p w14:paraId="5E147828" w14:textId="77777777" w:rsidR="004A5180"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As production requirements rose, managers raised their purchasing activity (+1.0pts to 51.6). However, vendor performance worsened, with supplier performance deteriorating (-1.0pts to 49.8). Firms linked the lengthening to the war in the Middle East and the impact on supply chain health. July saw a renewed intensification of inflationary pressures (+5.4pts to 59.5) and firms also passed on these cost increases to consumers (+1.6pts to 54.2).</w:t>
      </w:r>
    </w:p>
    <w:p w14:paraId="52528713"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p>
    <w:p w14:paraId="4314B6FF" w14:textId="77777777" w:rsidR="004A5180" w:rsidRPr="008E678C" w:rsidRDefault="004A5180" w:rsidP="004A5180">
      <w:pPr>
        <w:autoSpaceDE w:val="0"/>
        <w:autoSpaceDN w:val="0"/>
        <w:adjustRightInd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Corporate News</w:t>
      </w:r>
    </w:p>
    <w:p w14:paraId="0CBD3F57" w14:textId="77777777" w:rsidR="004A5180" w:rsidRPr="008E678C" w:rsidRDefault="004A5180" w:rsidP="004A5180">
      <w:pPr>
        <w:jc w:val="both"/>
        <w:rPr>
          <w:rFonts w:ascii="Arial" w:hAnsi="Arial" w:cs="Arial"/>
          <w:sz w:val="18"/>
          <w:szCs w:val="18"/>
        </w:rPr>
      </w:pPr>
      <w:proofErr w:type="spellStart"/>
      <w:r w:rsidRPr="008E678C">
        <w:rPr>
          <w:rFonts w:ascii="Arial" w:hAnsi="Arial" w:cs="Arial"/>
          <w:sz w:val="18"/>
          <w:szCs w:val="18"/>
        </w:rPr>
        <w:t>Philex</w:t>
      </w:r>
      <w:proofErr w:type="spellEnd"/>
      <w:r w:rsidRPr="008E678C">
        <w:rPr>
          <w:rFonts w:ascii="Arial" w:hAnsi="Arial" w:cs="Arial"/>
          <w:sz w:val="18"/>
          <w:szCs w:val="18"/>
        </w:rPr>
        <w:t xml:space="preserve"> Mining Corporation (PX) is one of the Philippines’ largest listed copper and gold producers, with its flagship </w:t>
      </w:r>
      <w:proofErr w:type="spellStart"/>
      <w:r w:rsidRPr="008E678C">
        <w:rPr>
          <w:rFonts w:ascii="Arial" w:hAnsi="Arial" w:cs="Arial"/>
          <w:sz w:val="18"/>
          <w:szCs w:val="18"/>
        </w:rPr>
        <w:t>Padcal</w:t>
      </w:r>
      <w:proofErr w:type="spellEnd"/>
      <w:r w:rsidRPr="008E678C">
        <w:rPr>
          <w:rFonts w:ascii="Arial" w:hAnsi="Arial" w:cs="Arial"/>
          <w:sz w:val="18"/>
          <w:szCs w:val="18"/>
        </w:rPr>
        <w:t xml:space="preserve"> mine currently driving earnings while the highly anticipated Silangan project is positioned to underpin the company's next phase of growth. The company delivered a strong operational recovery in 2Q26, reporting core net income of P492million, a sharp improvement from a P281million loss in 1Q26 and up 653% YoY, bringing 1H26 core earnings to P212million (+56% YoY). The recovery was supported by </w:t>
      </w:r>
      <w:proofErr w:type="spellStart"/>
      <w:r w:rsidRPr="008E678C">
        <w:rPr>
          <w:rFonts w:ascii="Arial" w:hAnsi="Arial" w:cs="Arial"/>
          <w:sz w:val="18"/>
          <w:szCs w:val="18"/>
        </w:rPr>
        <w:t>Padcal's</w:t>
      </w:r>
      <w:proofErr w:type="spellEnd"/>
      <w:r w:rsidRPr="008E678C">
        <w:rPr>
          <w:rFonts w:ascii="Arial" w:hAnsi="Arial" w:cs="Arial"/>
          <w:sz w:val="18"/>
          <w:szCs w:val="18"/>
        </w:rPr>
        <w:t xml:space="preserve"> mill throughput increasing to 1.56mt in 2Q26 from 0.93mt in 1Q26 (+68% </w:t>
      </w:r>
      <w:proofErr w:type="spellStart"/>
      <w:r w:rsidRPr="008E678C">
        <w:rPr>
          <w:rFonts w:ascii="Arial" w:hAnsi="Arial" w:cs="Arial"/>
          <w:sz w:val="18"/>
          <w:szCs w:val="18"/>
        </w:rPr>
        <w:t>QoQ</w:t>
      </w:r>
      <w:proofErr w:type="spellEnd"/>
      <w:r w:rsidRPr="008E678C">
        <w:rPr>
          <w:rFonts w:ascii="Arial" w:hAnsi="Arial" w:cs="Arial"/>
          <w:sz w:val="18"/>
          <w:szCs w:val="18"/>
        </w:rPr>
        <w:t xml:space="preserve">), reaching 91% of normal operating capacity following the completion of crushing plant rehabilitation works. Looking ahead, management expects Silangan to commence commissioning by 4Q26, although FY26 earnings are expected to remain modest at P1.1billion due to a slower ramp-up. Given the ongoing operational recovery, the upcoming Silangan commissioning, favourable long-term copper market fundamentals, and undemanding valuation, </w:t>
      </w:r>
      <w:proofErr w:type="spellStart"/>
      <w:r w:rsidRPr="008E678C">
        <w:rPr>
          <w:rFonts w:ascii="Arial" w:hAnsi="Arial" w:cs="Arial"/>
          <w:sz w:val="18"/>
          <w:szCs w:val="18"/>
        </w:rPr>
        <w:t>Philex</w:t>
      </w:r>
      <w:proofErr w:type="spellEnd"/>
      <w:r w:rsidRPr="008E678C">
        <w:rPr>
          <w:rFonts w:ascii="Arial" w:hAnsi="Arial" w:cs="Arial"/>
          <w:sz w:val="18"/>
          <w:szCs w:val="18"/>
        </w:rPr>
        <w:t xml:space="preserve"> Mining offers a compelling medium- to long-term investment opportunity for investors seeking exposure to the copper growth theme.</w:t>
      </w:r>
    </w:p>
    <w:p w14:paraId="533392E5"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r w:rsidRPr="008E678C">
        <w:rPr>
          <w:rFonts w:ascii="Arial" w:eastAsia="SimSun" w:hAnsi="Arial" w:cs="Arial"/>
          <w:bCs/>
          <w:kern w:val="3"/>
          <w:sz w:val="18"/>
          <w:szCs w:val="18"/>
          <w:lang w:bidi="hi-IN"/>
        </w:rPr>
        <w:t xml:space="preserve">Converge ICT share price declined 29.6% YTD. The company continues to guide for 8-10% revenue growth in FY26, supported by a rapidly expanding enterprise segment (+16% YoY in 1Q26 to PHP2.0billion), while maintaining an industry-leading 15.6% ROIC, demonstrating superior capital efficiency versus peers. At only 2.8x EV/EBITDA, the stock is trading at a significant discount to both regional telecom and digital infrastructure peers, suggesting the market is overly focused on near-term index exclusion and slowing residential broadband growth. The key long-term catalyst is the Philippines' participation in the US-led Pax Silica initiative, where </w:t>
      </w:r>
      <w:proofErr w:type="gramStart"/>
      <w:r w:rsidRPr="008E678C">
        <w:rPr>
          <w:rFonts w:ascii="Arial" w:eastAsia="SimSun" w:hAnsi="Arial" w:cs="Arial"/>
          <w:bCs/>
          <w:kern w:val="3"/>
          <w:sz w:val="18"/>
          <w:szCs w:val="18"/>
          <w:lang w:bidi="hi-IN"/>
        </w:rPr>
        <w:t>Converge</w:t>
      </w:r>
      <w:proofErr w:type="gramEnd"/>
      <w:r w:rsidRPr="008E678C">
        <w:rPr>
          <w:rFonts w:ascii="Arial" w:eastAsia="SimSun" w:hAnsi="Arial" w:cs="Arial"/>
          <w:bCs/>
          <w:kern w:val="3"/>
          <w:sz w:val="18"/>
          <w:szCs w:val="18"/>
          <w:lang w:bidi="hi-IN"/>
        </w:rPr>
        <w:t xml:space="preserve"> is well-positioned to become the leading digital infrastructure provider in New Clark City's 4,000-acre AI and semiconductor hub. Beyond broadband, </w:t>
      </w:r>
      <w:proofErr w:type="gramStart"/>
      <w:r w:rsidRPr="008E678C">
        <w:rPr>
          <w:rFonts w:ascii="Arial" w:eastAsia="SimSun" w:hAnsi="Arial" w:cs="Arial"/>
          <w:bCs/>
          <w:kern w:val="3"/>
          <w:sz w:val="18"/>
          <w:szCs w:val="18"/>
          <w:lang w:bidi="hi-IN"/>
        </w:rPr>
        <w:t>Converge</w:t>
      </w:r>
      <w:proofErr w:type="gramEnd"/>
      <w:r w:rsidRPr="008E678C">
        <w:rPr>
          <w:rFonts w:ascii="Arial" w:eastAsia="SimSun" w:hAnsi="Arial" w:cs="Arial"/>
          <w:bCs/>
          <w:kern w:val="3"/>
          <w:sz w:val="18"/>
          <w:szCs w:val="18"/>
          <w:lang w:bidi="hi-IN"/>
        </w:rPr>
        <w:t xml:space="preserve"> has an emerging data </w:t>
      </w:r>
      <w:proofErr w:type="spellStart"/>
      <w:r w:rsidRPr="008E678C">
        <w:rPr>
          <w:rFonts w:ascii="Arial" w:eastAsia="SimSun" w:hAnsi="Arial" w:cs="Arial"/>
          <w:bCs/>
          <w:kern w:val="3"/>
          <w:sz w:val="18"/>
          <w:szCs w:val="18"/>
          <w:lang w:bidi="hi-IN"/>
        </w:rPr>
        <w:t>center</w:t>
      </w:r>
      <w:proofErr w:type="spellEnd"/>
      <w:r w:rsidRPr="008E678C">
        <w:rPr>
          <w:rFonts w:ascii="Arial" w:eastAsia="SimSun" w:hAnsi="Arial" w:cs="Arial"/>
          <w:bCs/>
          <w:kern w:val="3"/>
          <w:sz w:val="18"/>
          <w:szCs w:val="18"/>
          <w:lang w:bidi="hi-IN"/>
        </w:rPr>
        <w:t xml:space="preserve"> growth story, currently operating 40MW of capacity and planning an additional 150MW, which could transform the company into a major AI, cloud, government data hosting and enterprise connectivity player. Assuming industry data </w:t>
      </w:r>
      <w:proofErr w:type="spellStart"/>
      <w:r w:rsidRPr="008E678C">
        <w:rPr>
          <w:rFonts w:ascii="Arial" w:eastAsia="SimSun" w:hAnsi="Arial" w:cs="Arial"/>
          <w:bCs/>
          <w:kern w:val="3"/>
          <w:sz w:val="18"/>
          <w:szCs w:val="18"/>
          <w:lang w:bidi="hi-IN"/>
        </w:rPr>
        <w:t>center</w:t>
      </w:r>
      <w:proofErr w:type="spellEnd"/>
      <w:r w:rsidRPr="008E678C">
        <w:rPr>
          <w:rFonts w:ascii="Arial" w:eastAsia="SimSun" w:hAnsi="Arial" w:cs="Arial"/>
          <w:bCs/>
          <w:kern w:val="3"/>
          <w:sz w:val="18"/>
          <w:szCs w:val="18"/>
          <w:lang w:bidi="hi-IN"/>
        </w:rPr>
        <w:t xml:space="preserve"> pricing and occupancy trends, a fully utilized 150MW expansion could potentially generate several billion pesos of incremental annual revenue over time, providing a meaningful earnings uplift beyond its traditional </w:t>
      </w:r>
      <w:proofErr w:type="spellStart"/>
      <w:r w:rsidRPr="008E678C">
        <w:rPr>
          <w:rFonts w:ascii="Arial" w:eastAsia="SimSun" w:hAnsi="Arial" w:cs="Arial"/>
          <w:bCs/>
          <w:kern w:val="3"/>
          <w:sz w:val="18"/>
          <w:szCs w:val="18"/>
          <w:lang w:bidi="hi-IN"/>
        </w:rPr>
        <w:t>fiber</w:t>
      </w:r>
      <w:proofErr w:type="spellEnd"/>
      <w:r w:rsidRPr="008E678C">
        <w:rPr>
          <w:rFonts w:ascii="Arial" w:eastAsia="SimSun" w:hAnsi="Arial" w:cs="Arial"/>
          <w:bCs/>
          <w:kern w:val="3"/>
          <w:sz w:val="18"/>
          <w:szCs w:val="18"/>
          <w:lang w:bidi="hi-IN"/>
        </w:rPr>
        <w:t xml:space="preserve"> business. With enterprise demand, AI infrastructure development, cloud adoption, government data localization requirements and semiconductor investments accelerating</w:t>
      </w:r>
      <w:r>
        <w:rPr>
          <w:rFonts w:ascii="Arial" w:eastAsia="SimSun" w:hAnsi="Arial" w:cs="Arial"/>
          <w:bCs/>
          <w:kern w:val="3"/>
          <w:sz w:val="18"/>
          <w:szCs w:val="18"/>
          <w:lang w:bidi="hi-IN"/>
        </w:rPr>
        <w:t>.</w:t>
      </w:r>
    </w:p>
    <w:p w14:paraId="7C972E0F" w14:textId="77777777" w:rsidR="004A5180" w:rsidRDefault="004A5180" w:rsidP="004A5180">
      <w:pPr>
        <w:autoSpaceDE w:val="0"/>
        <w:autoSpaceDN w:val="0"/>
        <w:adjustRightInd w:val="0"/>
        <w:spacing w:line="240" w:lineRule="auto"/>
        <w:jc w:val="both"/>
        <w:rPr>
          <w:rFonts w:ascii="Arial" w:eastAsia="SimSun" w:hAnsi="Arial" w:cs="Arial"/>
          <w:bCs/>
          <w:kern w:val="3"/>
          <w:sz w:val="18"/>
          <w:szCs w:val="18"/>
          <w:lang w:bidi="hi-IN"/>
        </w:rPr>
      </w:pPr>
      <w:proofErr w:type="spellStart"/>
      <w:r w:rsidRPr="008E678C">
        <w:rPr>
          <w:rFonts w:ascii="Arial" w:eastAsia="SimSun" w:hAnsi="Arial" w:cs="Arial"/>
          <w:bCs/>
          <w:kern w:val="3"/>
          <w:sz w:val="18"/>
          <w:szCs w:val="18"/>
          <w:lang w:bidi="hi-IN"/>
        </w:rPr>
        <w:lastRenderedPageBreak/>
        <w:t>ACMobility</w:t>
      </w:r>
      <w:proofErr w:type="spellEnd"/>
      <w:r w:rsidRPr="008E678C">
        <w:rPr>
          <w:rFonts w:ascii="Arial" w:eastAsia="SimSun" w:hAnsi="Arial" w:cs="Arial"/>
          <w:bCs/>
          <w:kern w:val="3"/>
          <w:sz w:val="18"/>
          <w:szCs w:val="18"/>
          <w:lang w:bidi="hi-IN"/>
        </w:rPr>
        <w:t xml:space="preserve"> is rapidly establishing itself as the leading EV platform in the Philippines, driven by its exclusive BYD distributorship, expanding dealership network, and nationwide charging infrastructure rollout. Operationally, BYD sales surged 62% YoY to 16 800 units in 1H26, maintaining its position as the country's largest EV brand with a 35% market share, while 2Q26 sales accelerated to 11.7k units (+85% YoY, +133% </w:t>
      </w:r>
      <w:proofErr w:type="spellStart"/>
      <w:r w:rsidRPr="008E678C">
        <w:rPr>
          <w:rFonts w:ascii="Arial" w:eastAsia="SimSun" w:hAnsi="Arial" w:cs="Arial"/>
          <w:bCs/>
          <w:kern w:val="3"/>
          <w:sz w:val="18"/>
          <w:szCs w:val="18"/>
          <w:lang w:bidi="hi-IN"/>
        </w:rPr>
        <w:t>QoQ</w:t>
      </w:r>
      <w:proofErr w:type="spellEnd"/>
      <w:r w:rsidRPr="008E678C">
        <w:rPr>
          <w:rFonts w:ascii="Arial" w:eastAsia="SimSun" w:hAnsi="Arial" w:cs="Arial"/>
          <w:bCs/>
          <w:kern w:val="3"/>
          <w:sz w:val="18"/>
          <w:szCs w:val="18"/>
          <w:lang w:bidi="hi-IN"/>
        </w:rPr>
        <w:t>), highlighting strong consumer adoption despite increasing competition. Management is targeting a broader product portfolio with the launch of new BYD models, including the Atto 2, upgraded Seal 5 DM-</w:t>
      </w:r>
      <w:proofErr w:type="spellStart"/>
      <w:r w:rsidRPr="008E678C">
        <w:rPr>
          <w:rFonts w:ascii="Arial" w:eastAsia="SimSun" w:hAnsi="Arial" w:cs="Arial"/>
          <w:bCs/>
          <w:kern w:val="3"/>
          <w:sz w:val="18"/>
          <w:szCs w:val="18"/>
          <w:lang w:bidi="hi-IN"/>
        </w:rPr>
        <w:t>i</w:t>
      </w:r>
      <w:proofErr w:type="spellEnd"/>
      <w:r w:rsidRPr="008E678C">
        <w:rPr>
          <w:rFonts w:ascii="Arial" w:eastAsia="SimSun" w:hAnsi="Arial" w:cs="Arial"/>
          <w:bCs/>
          <w:kern w:val="3"/>
          <w:sz w:val="18"/>
          <w:szCs w:val="18"/>
          <w:lang w:bidi="hi-IN"/>
        </w:rPr>
        <w:t xml:space="preserve">, and </w:t>
      </w:r>
      <w:proofErr w:type="spellStart"/>
      <w:r w:rsidRPr="008E678C">
        <w:rPr>
          <w:rFonts w:ascii="Arial" w:eastAsia="SimSun" w:hAnsi="Arial" w:cs="Arial"/>
          <w:bCs/>
          <w:kern w:val="3"/>
          <w:sz w:val="18"/>
          <w:szCs w:val="18"/>
          <w:lang w:bidi="hi-IN"/>
        </w:rPr>
        <w:t>Denza</w:t>
      </w:r>
      <w:proofErr w:type="spellEnd"/>
      <w:r w:rsidRPr="008E678C">
        <w:rPr>
          <w:rFonts w:ascii="Arial" w:eastAsia="SimSun" w:hAnsi="Arial" w:cs="Arial"/>
          <w:bCs/>
          <w:kern w:val="3"/>
          <w:sz w:val="18"/>
          <w:szCs w:val="18"/>
          <w:lang w:bidi="hi-IN"/>
        </w:rPr>
        <w:t xml:space="preserve"> premium PHEV models, expanding its offering from 13 models in 2025 to 15 models in 2026. We estimate </w:t>
      </w:r>
      <w:proofErr w:type="spellStart"/>
      <w:r w:rsidRPr="008E678C">
        <w:rPr>
          <w:rFonts w:ascii="Arial" w:eastAsia="SimSun" w:hAnsi="Arial" w:cs="Arial"/>
          <w:bCs/>
          <w:kern w:val="3"/>
          <w:sz w:val="18"/>
          <w:szCs w:val="18"/>
          <w:lang w:bidi="hi-IN"/>
        </w:rPr>
        <w:t>ACMobility</w:t>
      </w:r>
      <w:proofErr w:type="spellEnd"/>
      <w:r w:rsidRPr="008E678C">
        <w:rPr>
          <w:rFonts w:ascii="Arial" w:eastAsia="SimSun" w:hAnsi="Arial" w:cs="Arial"/>
          <w:bCs/>
          <w:kern w:val="3"/>
          <w:sz w:val="18"/>
          <w:szCs w:val="18"/>
          <w:lang w:bidi="hi-IN"/>
        </w:rPr>
        <w:t xml:space="preserve"> could achieve approximately 74 700 total vehicle sales in 2026, potentially overtaking Mitsubishi and becoming the second-largest automotive player in the Philippines by volume behind Toyota. Key growth catalysts include continued EV penetration, government incentives such as zero EV import tariffs until 2028 and registration benefits until 2030, aggressive expansion of charging infrastructure from 459 charging points to 1,000 by end-2026, and strategic partnerships with Shell </w:t>
      </w:r>
      <w:proofErr w:type="spellStart"/>
      <w:r w:rsidRPr="008E678C">
        <w:rPr>
          <w:rFonts w:ascii="Arial" w:eastAsia="SimSun" w:hAnsi="Arial" w:cs="Arial"/>
          <w:bCs/>
          <w:kern w:val="3"/>
          <w:sz w:val="18"/>
          <w:szCs w:val="18"/>
          <w:lang w:bidi="hi-IN"/>
        </w:rPr>
        <w:t>Pilipinas</w:t>
      </w:r>
      <w:proofErr w:type="spellEnd"/>
      <w:r w:rsidRPr="008E678C">
        <w:rPr>
          <w:rFonts w:ascii="Arial" w:eastAsia="SimSun" w:hAnsi="Arial" w:cs="Arial"/>
          <w:bCs/>
          <w:kern w:val="3"/>
          <w:sz w:val="18"/>
          <w:szCs w:val="18"/>
          <w:lang w:bidi="hi-IN"/>
        </w:rPr>
        <w:t xml:space="preserve"> and Robinsons Land. From a valuation perspective, </w:t>
      </w:r>
      <w:proofErr w:type="spellStart"/>
      <w:r w:rsidRPr="008E678C">
        <w:rPr>
          <w:rFonts w:ascii="Arial" w:eastAsia="SimSun" w:hAnsi="Arial" w:cs="Arial"/>
          <w:bCs/>
          <w:kern w:val="3"/>
          <w:sz w:val="18"/>
          <w:szCs w:val="18"/>
          <w:lang w:bidi="hi-IN"/>
        </w:rPr>
        <w:t>ACMobility</w:t>
      </w:r>
      <w:proofErr w:type="spellEnd"/>
      <w:r w:rsidRPr="008E678C">
        <w:rPr>
          <w:rFonts w:ascii="Arial" w:eastAsia="SimSun" w:hAnsi="Arial" w:cs="Arial"/>
          <w:bCs/>
          <w:kern w:val="3"/>
          <w:sz w:val="18"/>
          <w:szCs w:val="18"/>
          <w:lang w:bidi="hi-IN"/>
        </w:rPr>
        <w:t xml:space="preserve"> offers exposure to one of the fastest-growing automotive segments in the Philippines, supported by structural EV adoption trends and a government target for EVs to account for 50% of vehicles on the road by 2040. While near-term margins may be affected by competition and pricing pressure as new brands enter the market, the company remains well positioned to capture long-term growth through scale advantages, recurring ecosystem revenues from charging infrastructure, and expanding market share in the rapidly growing EV market.</w:t>
      </w:r>
    </w:p>
    <w:p w14:paraId="4ECEF19B" w14:textId="77777777" w:rsidR="004A5180" w:rsidRPr="008E678C" w:rsidRDefault="004A5180" w:rsidP="004A5180">
      <w:pPr>
        <w:autoSpaceDE w:val="0"/>
        <w:autoSpaceDN w:val="0"/>
        <w:adjustRightInd w:val="0"/>
        <w:spacing w:line="240" w:lineRule="auto"/>
        <w:jc w:val="both"/>
        <w:rPr>
          <w:rFonts w:ascii="Arial" w:eastAsia="SimSun" w:hAnsi="Arial" w:cs="Arial"/>
          <w:bCs/>
          <w:kern w:val="3"/>
          <w:sz w:val="18"/>
          <w:szCs w:val="18"/>
          <w:lang w:bidi="hi-IN"/>
        </w:rPr>
      </w:pPr>
    </w:p>
    <w:p w14:paraId="7417A065" w14:textId="77777777" w:rsidR="004A5180" w:rsidRPr="008E678C" w:rsidRDefault="004A5180" w:rsidP="004A5180">
      <w:pPr>
        <w:autoSpaceDE w:val="0"/>
        <w:autoSpaceDN w:val="0"/>
        <w:adjustRightInd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Outlook</w:t>
      </w:r>
    </w:p>
    <w:p w14:paraId="497141C5" w14:textId="77777777" w:rsidR="004A5180" w:rsidRPr="008E678C" w:rsidRDefault="004A5180" w:rsidP="004A5180">
      <w:pPr>
        <w:autoSpaceDE w:val="0"/>
        <w:autoSpaceDN w:val="0"/>
        <w:adjustRightInd w:val="0"/>
        <w:spacing w:line="240" w:lineRule="auto"/>
        <w:jc w:val="both"/>
        <w:rPr>
          <w:rFonts w:ascii="Arial" w:hAnsi="Arial" w:cs="Arial"/>
          <w:sz w:val="18"/>
          <w:szCs w:val="18"/>
        </w:rPr>
      </w:pPr>
      <w:r w:rsidRPr="008E678C">
        <w:rPr>
          <w:rFonts w:ascii="Arial" w:hAnsi="Arial" w:cs="Arial"/>
          <w:sz w:val="18"/>
          <w:szCs w:val="18"/>
        </w:rPr>
        <w:t xml:space="preserve">The </w:t>
      </w:r>
      <w:proofErr w:type="spellStart"/>
      <w:r w:rsidRPr="008E678C">
        <w:rPr>
          <w:rFonts w:ascii="Arial" w:hAnsi="Arial" w:cs="Arial"/>
          <w:sz w:val="18"/>
          <w:szCs w:val="18"/>
        </w:rPr>
        <w:t>PSEi</w:t>
      </w:r>
      <w:proofErr w:type="spellEnd"/>
      <w:r w:rsidRPr="008E678C">
        <w:rPr>
          <w:rFonts w:ascii="Arial" w:hAnsi="Arial" w:cs="Arial"/>
          <w:sz w:val="18"/>
          <w:szCs w:val="18"/>
        </w:rPr>
        <w:t xml:space="preserve"> outlook remains cautiously constructive for the second half of 2026, supported by strong foreign inflows, robust banking sector fundamentals, and a healthy capital market pipeline, including the upcoming Mynt (</w:t>
      </w:r>
      <w:proofErr w:type="spellStart"/>
      <w:r w:rsidRPr="008E678C">
        <w:rPr>
          <w:rFonts w:ascii="Arial" w:hAnsi="Arial" w:cs="Arial"/>
          <w:sz w:val="18"/>
          <w:szCs w:val="18"/>
        </w:rPr>
        <w:t>GCash</w:t>
      </w:r>
      <w:proofErr w:type="spellEnd"/>
      <w:r w:rsidRPr="008E678C">
        <w:rPr>
          <w:rFonts w:ascii="Arial" w:hAnsi="Arial" w:cs="Arial"/>
          <w:sz w:val="18"/>
          <w:szCs w:val="18"/>
        </w:rPr>
        <w:t xml:space="preserve">) IPO and Vitro DC REIT listing. While the index gained 3.3% in July, sentiment continues to be weighed by elevated oil prices, peso weakness, fiscal concerns, and domestic political developments. Moving forward, 2Q26 corporate earnings and the BSP's monetary policy direction will be key drivers of market performance. Encouragingly, loan growth remains healthy, inflation has shown signs of moderation, and the IT-BPM sector has emerged as the country's largest foreign exchange earner, providing a solid economic backdrop. Overall, structural market reforms are expected to help to offset external and policy-related headwinds. We will continue to </w:t>
      </w:r>
      <w:proofErr w:type="spellStart"/>
      <w:r w:rsidRPr="008E678C">
        <w:rPr>
          <w:rFonts w:ascii="Arial" w:hAnsi="Arial" w:cs="Arial"/>
          <w:sz w:val="18"/>
          <w:szCs w:val="18"/>
        </w:rPr>
        <w:t>favor</w:t>
      </w:r>
      <w:proofErr w:type="spellEnd"/>
      <w:r w:rsidRPr="008E678C">
        <w:rPr>
          <w:rFonts w:ascii="Arial" w:hAnsi="Arial" w:cs="Arial"/>
          <w:sz w:val="18"/>
          <w:szCs w:val="18"/>
        </w:rPr>
        <w:t xml:space="preserve"> companies with robust fundamentals, low valuations, good management, and low leverage. </w:t>
      </w:r>
    </w:p>
    <w:p w14:paraId="18F4FECE"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u w:val="single"/>
        </w:rPr>
      </w:pPr>
    </w:p>
    <w:p w14:paraId="09DFEF51"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SOUTH KOREA</w:t>
      </w:r>
    </w:p>
    <w:p w14:paraId="6EECBF07"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Market Summary</w:t>
      </w:r>
    </w:p>
    <w:p w14:paraId="0B697020" w14:textId="77777777" w:rsidR="004A5180" w:rsidRPr="008E678C" w:rsidRDefault="004A5180" w:rsidP="004A5180">
      <w:pPr>
        <w:widowControl w:val="0"/>
        <w:suppressAutoHyphens/>
        <w:autoSpaceDN w:val="0"/>
        <w:spacing w:line="240" w:lineRule="auto"/>
        <w:jc w:val="both"/>
        <w:rPr>
          <w:rFonts w:ascii="Arial" w:hAnsi="Arial" w:cs="Arial"/>
          <w:sz w:val="18"/>
          <w:szCs w:val="18"/>
        </w:rPr>
      </w:pPr>
      <w:r w:rsidRPr="008E678C">
        <w:rPr>
          <w:rFonts w:ascii="Arial" w:hAnsi="Arial" w:cs="Arial"/>
          <w:sz w:val="18"/>
          <w:szCs w:val="18"/>
        </w:rPr>
        <w:t>The KOSPI index closed the month of July at 6,595.45points, declining 22.19% during the month.</w:t>
      </w:r>
    </w:p>
    <w:p w14:paraId="66FF2369" w14:textId="77777777" w:rsidR="004A5180" w:rsidRPr="008E678C" w:rsidRDefault="004A5180" w:rsidP="004A5180">
      <w:pPr>
        <w:widowControl w:val="0"/>
        <w:suppressAutoHyphens/>
        <w:autoSpaceDN w:val="0"/>
        <w:spacing w:line="240" w:lineRule="auto"/>
        <w:jc w:val="both"/>
        <w:rPr>
          <w:rFonts w:ascii="Arial" w:hAnsi="Arial" w:cs="Arial"/>
          <w:b/>
          <w:sz w:val="18"/>
          <w:szCs w:val="18"/>
          <w:u w:val="single"/>
        </w:rPr>
      </w:pPr>
      <w:r w:rsidRPr="008E678C">
        <w:rPr>
          <w:rFonts w:ascii="Arial" w:hAnsi="Arial" w:cs="Arial"/>
          <w:b/>
          <w:sz w:val="18"/>
          <w:szCs w:val="18"/>
          <w:u w:val="single"/>
        </w:rPr>
        <w:t>Economic News</w:t>
      </w:r>
    </w:p>
    <w:p w14:paraId="64FE5E4A" w14:textId="77777777" w:rsidR="004A5180" w:rsidRPr="008E678C" w:rsidRDefault="004A5180" w:rsidP="004A5180">
      <w:pPr>
        <w:widowControl w:val="0"/>
        <w:suppressAutoHyphens/>
        <w:autoSpaceDN w:val="0"/>
        <w:spacing w:line="240" w:lineRule="auto"/>
        <w:jc w:val="both"/>
        <w:rPr>
          <w:rFonts w:ascii="Arial" w:hAnsi="Arial" w:cs="Arial"/>
          <w:sz w:val="18"/>
          <w:szCs w:val="18"/>
        </w:rPr>
      </w:pPr>
      <w:r w:rsidRPr="008E678C">
        <w:rPr>
          <w:rFonts w:ascii="Arial" w:hAnsi="Arial" w:cs="Arial"/>
          <w:sz w:val="18"/>
          <w:szCs w:val="18"/>
        </w:rPr>
        <w:t xml:space="preserve">South Korea's external trade remained resilient in July, supported by robust technology exports despite continued weakness in several traditional manufacturing industries. Computer and IT exports surged 404% YoY, driven by sustained global demand for AI servers, high-performance computing (HPC), and advanced semiconductor products. Meanwhile, petroleum product exports increased 34.1% YoY to USD5.68 billion, supported by firmer global oil prices amid heightened geopolitical tensions. In contrast, automobile exports rose 7.0% YoY to USD6.24 billion, supported by resilient global demand for eco-friendly vehicles, particularly electric and hybrid models, as well as a favourable base effect. </w:t>
      </w:r>
    </w:p>
    <w:p w14:paraId="0D743359" w14:textId="77777777" w:rsidR="004A5180" w:rsidRPr="008E678C" w:rsidRDefault="004A5180" w:rsidP="004A5180">
      <w:pPr>
        <w:widowControl w:val="0"/>
        <w:suppressAutoHyphens/>
        <w:autoSpaceDN w:val="0"/>
        <w:spacing w:line="240" w:lineRule="auto"/>
        <w:jc w:val="both"/>
        <w:rPr>
          <w:rFonts w:ascii="Arial" w:hAnsi="Arial" w:cs="Arial"/>
          <w:sz w:val="18"/>
          <w:szCs w:val="18"/>
        </w:rPr>
      </w:pPr>
      <w:r w:rsidRPr="008E678C">
        <w:rPr>
          <w:rFonts w:ascii="Arial" w:hAnsi="Arial" w:cs="Arial"/>
          <w:sz w:val="18"/>
          <w:szCs w:val="18"/>
        </w:rPr>
        <w:t xml:space="preserve">By destination, exports to China surged 96.2% YoY to USD21.68 billion, marking the ninth consecutive month of growth, while exports to the United States rose 68.7% YoY to USD17.43 billion, driven by strong shipments of semiconductors, computers, electric machinery, and steel. Exports to ASEAN and the European Union reached record monthly highs of USD18.80 billion (+73.7% YoY) and USD9.38 billion (+55.7% YoY), respectively, setting an all-time monthly record, with strong growth in semiconductors, displays, and ships. Meanwhile, exports to the Middle East increased 24.7% YoY to USD1.83 billion, marking their first increase since January. </w:t>
      </w:r>
    </w:p>
    <w:p w14:paraId="3DE2977A" w14:textId="77777777" w:rsidR="004A5180" w:rsidRPr="008E678C" w:rsidRDefault="004A5180" w:rsidP="004A5180">
      <w:pPr>
        <w:widowControl w:val="0"/>
        <w:suppressAutoHyphens/>
        <w:autoSpaceDN w:val="0"/>
        <w:spacing w:line="240" w:lineRule="auto"/>
        <w:jc w:val="both"/>
        <w:rPr>
          <w:rFonts w:ascii="Arial" w:hAnsi="Arial" w:cs="Arial"/>
          <w:sz w:val="18"/>
          <w:szCs w:val="18"/>
        </w:rPr>
      </w:pPr>
      <w:r w:rsidRPr="008E678C">
        <w:rPr>
          <w:rFonts w:ascii="Arial" w:hAnsi="Arial" w:cs="Arial"/>
          <w:sz w:val="18"/>
          <w:szCs w:val="18"/>
        </w:rPr>
        <w:t>On the import side, Korea’s Imports increased 26.5% YoY to USD68.56 billion, reflecting higher energy costs and resilient domestic investment. Energy imports rose 50.1% YoY to USD14.48 billion, while non-energy imports grew 21.4% to USD 54.08 billion, driven by a 44% increase import prices and crude oil import by value 54.2% to USD9.3 billion. The surge in Korea’s imports were supported by stronger purchases of semiconductor manufacturing equipment and petrochemical products.</w:t>
      </w:r>
    </w:p>
    <w:p w14:paraId="38D9FB5D" w14:textId="77777777" w:rsidR="004A5180" w:rsidRPr="008E678C" w:rsidRDefault="004A5180" w:rsidP="004A5180">
      <w:pPr>
        <w:widowControl w:val="0"/>
        <w:suppressAutoHyphens/>
        <w:autoSpaceDN w:val="0"/>
        <w:spacing w:line="240" w:lineRule="auto"/>
        <w:jc w:val="both"/>
        <w:rPr>
          <w:rFonts w:ascii="Arial" w:hAnsi="Arial" w:cs="Arial"/>
          <w:sz w:val="18"/>
          <w:szCs w:val="18"/>
        </w:rPr>
      </w:pPr>
    </w:p>
    <w:p w14:paraId="1D8CE2AC" w14:textId="77777777" w:rsidR="004A5180" w:rsidRPr="008E678C" w:rsidRDefault="004A5180" w:rsidP="004A5180">
      <w:pPr>
        <w:widowControl w:val="0"/>
        <w:suppressAutoHyphens/>
        <w:autoSpaceDN w:val="0"/>
        <w:spacing w:line="240" w:lineRule="auto"/>
        <w:jc w:val="both"/>
        <w:rPr>
          <w:rFonts w:ascii="Arial" w:hAnsi="Arial" w:cs="Arial"/>
          <w:sz w:val="18"/>
          <w:szCs w:val="18"/>
        </w:rPr>
      </w:pPr>
      <w:r w:rsidRPr="008E678C">
        <w:rPr>
          <w:rFonts w:ascii="Arial" w:hAnsi="Arial" w:cs="Arial"/>
          <w:sz w:val="18"/>
          <w:szCs w:val="18"/>
        </w:rPr>
        <w:t>South Korea's trade surplus widened to USD30.32 billion, more than four times higher than a year earlier, with the cumulative trade surplus reaching USD168.0 billion in the first seven months of 2026, underscoring the strength of the country's external sector despite a challenging global environment.</w:t>
      </w:r>
    </w:p>
    <w:p w14:paraId="40E0A9B1" w14:textId="77777777" w:rsidR="004A5180" w:rsidRPr="008E678C" w:rsidRDefault="004A5180" w:rsidP="004A5180">
      <w:pPr>
        <w:widowControl w:val="0"/>
        <w:suppressAutoHyphens/>
        <w:autoSpaceDN w:val="0"/>
        <w:spacing w:line="240" w:lineRule="auto"/>
        <w:jc w:val="both"/>
        <w:rPr>
          <w:rFonts w:ascii="Arial" w:hAnsi="Arial" w:cs="Arial"/>
          <w:sz w:val="18"/>
          <w:szCs w:val="18"/>
        </w:rPr>
      </w:pPr>
      <w:r w:rsidRPr="008E678C">
        <w:rPr>
          <w:rFonts w:ascii="Arial" w:hAnsi="Arial" w:cs="Arial"/>
          <w:sz w:val="18"/>
          <w:szCs w:val="18"/>
        </w:rPr>
        <w:t xml:space="preserve">South Korean equities experienced a sharp correction in July as the unwinding of leveraged positions intensified market volatility. On </w:t>
      </w:r>
      <w:r w:rsidRPr="008E678C">
        <w:rPr>
          <w:rFonts w:ascii="Arial" w:hAnsi="Arial" w:cs="Arial"/>
          <w:sz w:val="18"/>
          <w:szCs w:val="18"/>
        </w:rPr>
        <w:lastRenderedPageBreak/>
        <w:t>20 July, the KOSPI fell 3.5% in a single session, erasing approximately KRW213.8 trillion (USD144 billion) in market capitalization. According to Goldman Sachs, more than 1.2 million leveraged retail trading accounts received margin calls following the sharp decline, which is equivalent to roughly 3.4% of the country's entire adult population. This reflects the rapid unwinding of margin financing and leveraged ETF positions accumulated during the AI and memory semiconductor rally. The episode highlighted elevated retail participation and the risks associated with excessive leverage in the domestic equity market.</w:t>
      </w:r>
    </w:p>
    <w:p w14:paraId="05DAB08A" w14:textId="77777777" w:rsidR="004A5180" w:rsidRPr="008E678C" w:rsidRDefault="004A5180" w:rsidP="004A5180">
      <w:pPr>
        <w:widowControl w:val="0"/>
        <w:suppressAutoHyphens/>
        <w:autoSpaceDN w:val="0"/>
        <w:spacing w:line="240" w:lineRule="auto"/>
        <w:jc w:val="both"/>
        <w:rPr>
          <w:rFonts w:ascii="Arial" w:hAnsi="Arial" w:cs="Arial"/>
          <w:b/>
          <w:sz w:val="18"/>
          <w:szCs w:val="18"/>
          <w:u w:val="single"/>
        </w:rPr>
      </w:pPr>
      <w:r w:rsidRPr="008E678C">
        <w:rPr>
          <w:rFonts w:ascii="Arial" w:hAnsi="Arial" w:cs="Arial"/>
          <w:sz w:val="18"/>
          <w:szCs w:val="18"/>
        </w:rPr>
        <w:t>Adding to market pressure, the Bank of Korea raised its benchmark policy rate by 25 basis points to 2.75%, marking its first-rate hike in more than three years and the first under Governor Shin Hyun-song. While the decision was widely anticipated, tighter monetary policy further dampened investor sentiment by increasing funding costs and accelerating deleveraging across risk assets. Together with heightened valuation concerns surrounding AI-related stocks, the rate hike contributed to a broad-based sell-off in South Korean equities during the month.</w:t>
      </w:r>
    </w:p>
    <w:p w14:paraId="31B34B51" w14:textId="77777777" w:rsidR="004A5180" w:rsidRPr="008E678C" w:rsidRDefault="004A5180" w:rsidP="004A5180">
      <w:pPr>
        <w:widowControl w:val="0"/>
        <w:suppressAutoHyphens/>
        <w:autoSpaceDN w:val="0"/>
        <w:spacing w:line="240" w:lineRule="auto"/>
        <w:jc w:val="both"/>
        <w:rPr>
          <w:rFonts w:ascii="Arial" w:hAnsi="Arial" w:cs="Arial"/>
          <w:b/>
          <w:sz w:val="18"/>
          <w:szCs w:val="18"/>
          <w:u w:val="single"/>
        </w:rPr>
      </w:pPr>
      <w:r w:rsidRPr="008E678C">
        <w:rPr>
          <w:rFonts w:ascii="Arial" w:hAnsi="Arial" w:cs="Arial"/>
          <w:b/>
          <w:sz w:val="18"/>
          <w:szCs w:val="18"/>
          <w:u w:val="single"/>
        </w:rPr>
        <w:t>Corporate News</w:t>
      </w:r>
    </w:p>
    <w:p w14:paraId="465D2A35" w14:textId="77777777" w:rsidR="004A5180" w:rsidRPr="008E678C" w:rsidRDefault="004A5180" w:rsidP="004A5180">
      <w:pPr>
        <w:widowControl w:val="0"/>
        <w:suppressAutoHyphens/>
        <w:autoSpaceDN w:val="0"/>
        <w:spacing w:line="240" w:lineRule="auto"/>
        <w:jc w:val="both"/>
        <w:rPr>
          <w:rFonts w:ascii="Arial" w:hAnsi="Arial" w:cs="Arial"/>
          <w:sz w:val="18"/>
          <w:szCs w:val="18"/>
        </w:rPr>
      </w:pPr>
      <w:r w:rsidRPr="008E678C">
        <w:rPr>
          <w:rFonts w:ascii="Arial" w:hAnsi="Arial" w:cs="Arial"/>
          <w:sz w:val="18"/>
          <w:szCs w:val="18"/>
        </w:rPr>
        <w:t xml:space="preserve">Daewoo Engineering &amp; Construction reported a strong set of 2Q2026 results, with operating profit surging 182.6% YoY to KRW232.3 billion, significantly exceeding market expectations, as profitability in its construction division rebounded following the normalization of project costs after the 4Q25 balance sheet restructuring. Gross profit margin in the construction segment improved 21.6% to its highest quarterly level since 2015, supported by improved project execution and one-off gains of KRW82.9 billion from contract settlements and variation orders, but even excluding these one-off factors, GPM remained strong at 15.6%, reflecting normalized cost ratios since 4Q25. Meanwhile, the plant division posted a low GPM of 3.4% due to rework and schedule extension costs related to the Nigeria T7 project, which the company expects to recover through claims upon completion, with margins normalizing from 3Q26. Looking ahead, management raised its 2026 new order target by 50% from KRW18 trillion to KRW27 trillion, underpinned by strong visibility on several large-scale overseas infrastructure and energy projects, including the Czech </w:t>
      </w:r>
      <w:proofErr w:type="spellStart"/>
      <w:r w:rsidRPr="008E678C">
        <w:rPr>
          <w:rFonts w:ascii="Arial" w:hAnsi="Arial" w:cs="Arial"/>
          <w:sz w:val="18"/>
          <w:szCs w:val="18"/>
        </w:rPr>
        <w:t>Dukovany</w:t>
      </w:r>
      <w:proofErr w:type="spellEnd"/>
      <w:r w:rsidRPr="008E678C">
        <w:rPr>
          <w:rFonts w:ascii="Arial" w:hAnsi="Arial" w:cs="Arial"/>
          <w:sz w:val="18"/>
          <w:szCs w:val="18"/>
        </w:rPr>
        <w:t xml:space="preserve"> nuclear power plant, Papua New Guinea LNG, Nigeria Indorama fertilizer plant, Mozambique LNG Area 4, and </w:t>
      </w:r>
      <w:proofErr w:type="spellStart"/>
      <w:r w:rsidRPr="008E678C">
        <w:rPr>
          <w:rFonts w:ascii="Arial" w:hAnsi="Arial" w:cs="Arial"/>
          <w:sz w:val="18"/>
          <w:szCs w:val="18"/>
        </w:rPr>
        <w:t>Gadeokdo</w:t>
      </w:r>
      <w:proofErr w:type="spellEnd"/>
      <w:r w:rsidRPr="008E678C">
        <w:rPr>
          <w:rFonts w:ascii="Arial" w:hAnsi="Arial" w:cs="Arial"/>
          <w:sz w:val="18"/>
          <w:szCs w:val="18"/>
        </w:rPr>
        <w:t xml:space="preserve"> new airport, worth approximately KRW18 trillion</w:t>
      </w:r>
      <w:r>
        <w:rPr>
          <w:rFonts w:ascii="Arial" w:hAnsi="Arial" w:cs="Arial"/>
          <w:sz w:val="18"/>
          <w:szCs w:val="18"/>
        </w:rPr>
        <w:t xml:space="preserve">. </w:t>
      </w:r>
      <w:r w:rsidRPr="00E748B2">
        <w:rPr>
          <w:rFonts w:ascii="Arial" w:hAnsi="Arial" w:cs="Arial"/>
          <w:sz w:val="18"/>
          <w:szCs w:val="18"/>
        </w:rPr>
        <w:t>The stronger order pipeline could support earnings growth and margin expansion, subject to execution and market conditions</w:t>
      </w:r>
      <w:r w:rsidRPr="008E678C">
        <w:rPr>
          <w:rFonts w:ascii="Arial" w:hAnsi="Arial" w:cs="Arial"/>
          <w:sz w:val="18"/>
          <w:szCs w:val="18"/>
        </w:rPr>
        <w:t xml:space="preserve">, while a recovery in the plant division is anticipated as cost overruns on the Nigeria T7 project subside. Reflecting the improved earnings outlook and robust order momentum, the company remains well positioned to benefit from the global infrastructure investment cycle. </w:t>
      </w:r>
    </w:p>
    <w:p w14:paraId="7F290D8A" w14:textId="77777777" w:rsidR="004A5180" w:rsidRPr="008E678C" w:rsidRDefault="004A5180" w:rsidP="004A5180">
      <w:pPr>
        <w:widowControl w:val="0"/>
        <w:suppressAutoHyphens/>
        <w:autoSpaceDN w:val="0"/>
        <w:spacing w:line="240" w:lineRule="auto"/>
        <w:jc w:val="both"/>
        <w:rPr>
          <w:rFonts w:ascii="Arial" w:hAnsi="Arial" w:cs="Arial"/>
          <w:b/>
          <w:sz w:val="18"/>
          <w:szCs w:val="18"/>
          <w:u w:val="single"/>
        </w:rPr>
      </w:pPr>
      <w:r w:rsidRPr="008E678C">
        <w:rPr>
          <w:rFonts w:ascii="Arial" w:hAnsi="Arial" w:cs="Arial"/>
          <w:sz w:val="18"/>
          <w:szCs w:val="18"/>
        </w:rPr>
        <w:t>Dear U reported mixed 2Q2026 results, with revenue increasing 15.7% YoY to KRW23.4 billion and operating profit rising 26.4% YoY to KRW9.4 billion. As preparations for Dear U's new U.S. offline business accelerated, depreciation expenses related to right-of-use (ROU) assets were recognized from 2Q2026 onwards. Consequently, operating losses at its U.S. subsidiary, Dear U International, widened to approximately KRW1.1 billion, reflecting higher upfront investment costs ahead of the business launch. Meanwhile, the average number of paid subscriptions declined to 1.97 million in 2Q2026, down 40,000 from the previous quarter, primarily due to the departure of several artists from the platform. Nevertheless, revenue remained supported by favourable foreign exchange movements, and royalties from its partnership with Tencent Music Entertainment's QQ Music Bubble platform are expected to begin contributing from 3Q2026. Looking ahead, management expects overseas markets, particularly China, the U.S., and Japan, to become the key drivers of subscriber growth as the domestic market matures. While near-term earnings may remain under pressure due to investments in international expansion, Dear U's long-term growth outlook remains supported by increasing global demand for K-pop fan engagement platforms and the continued expansion of its international user base.</w:t>
      </w:r>
    </w:p>
    <w:p w14:paraId="64F9629D" w14:textId="77777777" w:rsidR="004A5180" w:rsidRPr="008E678C" w:rsidRDefault="004A5180" w:rsidP="004A5180">
      <w:pPr>
        <w:widowControl w:val="0"/>
        <w:suppressAutoHyphens/>
        <w:autoSpaceDN w:val="0"/>
        <w:spacing w:line="240" w:lineRule="auto"/>
        <w:jc w:val="both"/>
        <w:rPr>
          <w:rFonts w:ascii="Arial" w:hAnsi="Arial" w:cs="Arial"/>
          <w:b/>
          <w:sz w:val="18"/>
          <w:szCs w:val="18"/>
          <w:u w:val="single"/>
        </w:rPr>
      </w:pPr>
      <w:r w:rsidRPr="008E678C">
        <w:rPr>
          <w:rFonts w:ascii="Arial" w:hAnsi="Arial" w:cs="Arial"/>
          <w:b/>
          <w:sz w:val="18"/>
          <w:szCs w:val="18"/>
          <w:u w:val="single"/>
        </w:rPr>
        <w:t>Outlook</w:t>
      </w:r>
    </w:p>
    <w:p w14:paraId="4E490810" w14:textId="77777777" w:rsidR="004A5180" w:rsidRPr="008E678C" w:rsidRDefault="004A5180" w:rsidP="004A5180">
      <w:pPr>
        <w:spacing w:line="240" w:lineRule="auto"/>
        <w:jc w:val="both"/>
        <w:rPr>
          <w:rFonts w:ascii="Arial" w:eastAsia="SimSun" w:hAnsi="Arial" w:cs="Arial"/>
          <w:bCs/>
          <w:sz w:val="18"/>
          <w:szCs w:val="18"/>
        </w:rPr>
      </w:pPr>
      <w:r w:rsidRPr="008E678C">
        <w:rPr>
          <w:rFonts w:ascii="Arial" w:eastAsia="SimSun" w:hAnsi="Arial" w:cs="Arial"/>
          <w:bCs/>
          <w:sz w:val="18"/>
          <w:szCs w:val="18"/>
        </w:rPr>
        <w:t xml:space="preserve">Korea remains on our watch list as a potentially attractive investment destination. The focus will remain on stock selection. We continue to look for opportunities in the region, favouring companies which demonstrate low valuations, low leverage, high growth, robust management, and a strong track record. At present, we like the memory, renewable energy, and domestic consumption industry.  </w:t>
      </w:r>
    </w:p>
    <w:p w14:paraId="62C71E49" w14:textId="77777777" w:rsidR="004A5180" w:rsidRPr="008E678C" w:rsidRDefault="004A5180" w:rsidP="004A5180">
      <w:pPr>
        <w:spacing w:line="240" w:lineRule="auto"/>
        <w:jc w:val="both"/>
        <w:rPr>
          <w:rFonts w:ascii="Arial" w:eastAsia="SimSun" w:hAnsi="Arial" w:cs="Arial"/>
          <w:b/>
          <w:sz w:val="18"/>
          <w:szCs w:val="18"/>
          <w:u w:val="single"/>
        </w:rPr>
      </w:pPr>
    </w:p>
    <w:p w14:paraId="0BE1B382" w14:textId="77777777" w:rsidR="004A5180" w:rsidRPr="008E678C" w:rsidRDefault="004A5180" w:rsidP="004A5180">
      <w:pPr>
        <w:spacing w:line="240" w:lineRule="auto"/>
        <w:jc w:val="both"/>
        <w:rPr>
          <w:rFonts w:ascii="Arial" w:eastAsia="SimSun" w:hAnsi="Arial" w:cs="Arial"/>
          <w:b/>
          <w:sz w:val="18"/>
          <w:szCs w:val="18"/>
          <w:u w:val="single"/>
        </w:rPr>
      </w:pPr>
    </w:p>
    <w:p w14:paraId="6CB045A9" w14:textId="77777777" w:rsidR="004A5180" w:rsidRPr="008E678C" w:rsidRDefault="004A5180" w:rsidP="004A5180">
      <w:pPr>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HONG KONG &amp; CHINA</w:t>
      </w:r>
    </w:p>
    <w:p w14:paraId="416D5084"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Market Summary</w:t>
      </w:r>
    </w:p>
    <w:p w14:paraId="19B6B5FE" w14:textId="77777777" w:rsidR="004A5180" w:rsidRPr="008E678C" w:rsidRDefault="004A5180" w:rsidP="004A5180">
      <w:pPr>
        <w:widowControl w:val="0"/>
        <w:suppressAutoHyphens/>
        <w:autoSpaceDN w:val="0"/>
        <w:spacing w:line="240" w:lineRule="auto"/>
        <w:jc w:val="both"/>
        <w:rPr>
          <w:rFonts w:ascii="Arial" w:eastAsia="SimSun" w:hAnsi="Arial" w:cs="Arial"/>
          <w:kern w:val="3"/>
          <w:sz w:val="18"/>
          <w:szCs w:val="18"/>
          <w:lang w:val="en-GB" w:bidi="hi-IN"/>
        </w:rPr>
      </w:pPr>
      <w:r w:rsidRPr="008E678C">
        <w:rPr>
          <w:rFonts w:ascii="Arial" w:eastAsia="SimSun" w:hAnsi="Arial" w:cs="Arial"/>
          <w:kern w:val="3"/>
          <w:sz w:val="18"/>
          <w:szCs w:val="18"/>
          <w:lang w:val="en-GB" w:bidi="hi-IN"/>
        </w:rPr>
        <w:t>The CSI-300 Index edged down 7.86% in July to close at 4,588.20 points.</w:t>
      </w:r>
    </w:p>
    <w:p w14:paraId="1170832E" w14:textId="77777777" w:rsidR="004A5180" w:rsidRPr="008E678C" w:rsidRDefault="004A5180" w:rsidP="004A5180">
      <w:pPr>
        <w:widowControl w:val="0"/>
        <w:suppressAutoHyphens/>
        <w:autoSpaceDN w:val="0"/>
        <w:spacing w:line="240" w:lineRule="auto"/>
        <w:jc w:val="both"/>
        <w:rPr>
          <w:rFonts w:ascii="Arial" w:eastAsia="SimSun" w:hAnsi="Arial" w:cs="Arial"/>
          <w:kern w:val="3"/>
          <w:sz w:val="18"/>
          <w:szCs w:val="18"/>
          <w:lang w:val="en-GB" w:bidi="hi-IN"/>
        </w:rPr>
      </w:pPr>
      <w:r w:rsidRPr="008E678C">
        <w:rPr>
          <w:rFonts w:ascii="Arial" w:eastAsia="SimSun" w:hAnsi="Arial" w:cs="Arial"/>
          <w:kern w:val="3"/>
          <w:sz w:val="18"/>
          <w:szCs w:val="18"/>
          <w:lang w:val="en-GB" w:bidi="hi-IN"/>
        </w:rPr>
        <w:t xml:space="preserve">The Hang Seng Index gained 13.13% in July to close at 25,884.43 points. </w:t>
      </w:r>
    </w:p>
    <w:p w14:paraId="24652E24"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Economic News</w:t>
      </w:r>
      <w:bookmarkStart w:id="1" w:name="_Hlk211240956"/>
    </w:p>
    <w:p w14:paraId="58A7D7EB" w14:textId="77777777" w:rsidR="004A5180" w:rsidRPr="008E678C" w:rsidRDefault="004A5180" w:rsidP="004A5180">
      <w:pPr>
        <w:widowControl w:val="0"/>
        <w:suppressAutoHyphens/>
        <w:autoSpaceDN w:val="0"/>
        <w:spacing w:line="240" w:lineRule="auto"/>
        <w:jc w:val="both"/>
        <w:rPr>
          <w:rFonts w:ascii="Arial" w:eastAsia="Times New Roman" w:hAnsi="Arial" w:cs="Arial"/>
          <w:sz w:val="18"/>
          <w:szCs w:val="18"/>
        </w:rPr>
      </w:pPr>
      <w:r w:rsidRPr="008E678C">
        <w:rPr>
          <w:rFonts w:ascii="Arial" w:eastAsia="Times New Roman" w:hAnsi="Arial" w:cs="Arial"/>
          <w:sz w:val="18"/>
          <w:szCs w:val="18"/>
        </w:rPr>
        <w:t xml:space="preserve">China’s CFLP Composite PMI fell 1.3 points to 49.3 in July from 50.6 in June, </w:t>
      </w:r>
      <w:proofErr w:type="spellStart"/>
      <w:r w:rsidRPr="008E678C">
        <w:rPr>
          <w:rFonts w:ascii="Arial" w:eastAsia="Times New Roman" w:hAnsi="Arial" w:cs="Arial"/>
          <w:sz w:val="18"/>
          <w:szCs w:val="18"/>
        </w:rPr>
        <w:t>signaling</w:t>
      </w:r>
      <w:proofErr w:type="spellEnd"/>
      <w:r w:rsidRPr="008E678C">
        <w:rPr>
          <w:rFonts w:ascii="Arial" w:eastAsia="Times New Roman" w:hAnsi="Arial" w:cs="Arial"/>
          <w:sz w:val="18"/>
          <w:szCs w:val="18"/>
        </w:rPr>
        <w:t xml:space="preserve"> a renewed slowdown in overall business activity. The decline was driven by broad-based weakness across both the manufacturing and non-manufacturing sectors. indicating weaker activity in both the services and construction sectors. The softer PMI readings were attributed to seasonal factors, including </w:t>
      </w:r>
      <w:r w:rsidRPr="008E678C">
        <w:rPr>
          <w:rFonts w:ascii="Arial" w:eastAsia="Times New Roman" w:hAnsi="Arial" w:cs="Arial"/>
          <w:sz w:val="18"/>
          <w:szCs w:val="18"/>
        </w:rPr>
        <w:lastRenderedPageBreak/>
        <w:t>extreme weather disruptions, as well as continued weakness in domestic demand and the property sector. The return of the Composite PMI below the 50-point threshold suggests that stronger policy support may be required to stabilize economic activity and reinforce the recovery in the second half of the year.</w:t>
      </w:r>
    </w:p>
    <w:p w14:paraId="3A133F18" w14:textId="77777777" w:rsidR="004A5180" w:rsidRPr="008E678C" w:rsidRDefault="004A5180" w:rsidP="004A5180">
      <w:pPr>
        <w:widowControl w:val="0"/>
        <w:suppressAutoHyphens/>
        <w:autoSpaceDN w:val="0"/>
        <w:spacing w:line="240" w:lineRule="auto"/>
        <w:jc w:val="both"/>
        <w:rPr>
          <w:rFonts w:ascii="Arial" w:eastAsia="Times New Roman" w:hAnsi="Arial" w:cs="Arial"/>
          <w:sz w:val="18"/>
          <w:szCs w:val="18"/>
        </w:rPr>
      </w:pPr>
      <w:r w:rsidRPr="008E678C">
        <w:rPr>
          <w:rFonts w:ascii="Arial" w:eastAsia="Times New Roman" w:hAnsi="Arial" w:cs="Arial"/>
          <w:sz w:val="18"/>
          <w:szCs w:val="18"/>
        </w:rPr>
        <w:t>China's manufacturing sector contracted in July 2026, with the Manufacturing PMI falling to 49.2 from 50.3 in June, below the market consensus of 50.0 and marking its first contraction since February. The decline reflected weaker production and new orders, while manufacturers continued to scale back purchasing activity and reduce headcount, at a slower pace than in the previous month. Although input cost inflation moderated, producer prices fell at a faster rate, highlighting persistent pricing pressure and subdued demand.</w:t>
      </w:r>
    </w:p>
    <w:p w14:paraId="0F6844B4" w14:textId="77777777" w:rsidR="004A5180" w:rsidRPr="008E678C" w:rsidRDefault="004A5180" w:rsidP="004A5180">
      <w:pPr>
        <w:widowControl w:val="0"/>
        <w:suppressAutoHyphens/>
        <w:autoSpaceDN w:val="0"/>
        <w:spacing w:line="240" w:lineRule="auto"/>
        <w:jc w:val="both"/>
        <w:rPr>
          <w:rFonts w:ascii="Arial" w:eastAsia="Times New Roman" w:hAnsi="Arial" w:cs="Arial"/>
          <w:sz w:val="18"/>
          <w:szCs w:val="18"/>
        </w:rPr>
      </w:pPr>
      <w:r w:rsidRPr="008E678C">
        <w:rPr>
          <w:rFonts w:ascii="Arial" w:eastAsia="Times New Roman" w:hAnsi="Arial" w:cs="Arial"/>
          <w:sz w:val="18"/>
          <w:szCs w:val="18"/>
        </w:rPr>
        <w:t xml:space="preserve">High-frequency data for July 2026 indicated that China's property market continued to exhibit a gradual recovery, with activity remaining concentrated in Tier 1 cities. New home sales across 19 major cities increased 6% YoY, supported by a 15% YoY rise in average daily transactions in Tier 1 cities, and a 4% YoY increase in Tier 2 cities. Nevertheless, on a YTD basis, new-home sales across the 19 cities declined 5% YoY. Overall, the Jul 26 improvement was narrow while Tier 2 cities' 9% YTD decline suggests the underlying trend is still deteriorating. </w:t>
      </w:r>
    </w:p>
    <w:p w14:paraId="2E205DB9" w14:textId="77777777" w:rsidR="004A5180" w:rsidRPr="008E678C" w:rsidRDefault="004A5180" w:rsidP="004A5180">
      <w:pPr>
        <w:widowControl w:val="0"/>
        <w:suppressAutoHyphens/>
        <w:autoSpaceDN w:val="0"/>
        <w:spacing w:line="240" w:lineRule="auto"/>
        <w:jc w:val="both"/>
        <w:rPr>
          <w:rFonts w:ascii="Arial" w:eastAsia="SimSun" w:hAnsi="Arial" w:cs="Arial"/>
          <w:b/>
          <w:bCs/>
          <w:kern w:val="3"/>
          <w:sz w:val="18"/>
          <w:szCs w:val="18"/>
          <w:u w:val="single"/>
          <w:lang w:eastAsia="en-MY" w:bidi="hi-IN"/>
        </w:rPr>
      </w:pPr>
      <w:r w:rsidRPr="008E678C">
        <w:rPr>
          <w:rFonts w:ascii="Arial" w:eastAsia="Times New Roman" w:hAnsi="Arial" w:cs="Arial"/>
          <w:sz w:val="18"/>
          <w:szCs w:val="18"/>
        </w:rPr>
        <w:t>The secondary housing market continued to outperform, with average daily second-hand home transactions rising 14% YoY in Tier 1 cities, and a 2% YoY in Tier 2 cities. Despite the improvement in transaction volumes across major cities, nationwide residential property prices remained on a downward trajectory, underscoring the continued imbalance between housing demand and supply. Overall, the data suggest that the recovery in China's property market remains narrow-based, with underlying fundamentals outside Tier 1 cities continuing to face significant headwinds.</w:t>
      </w:r>
    </w:p>
    <w:p w14:paraId="2AB83BC1" w14:textId="77777777" w:rsidR="004A5180" w:rsidRPr="008E678C" w:rsidRDefault="004A5180" w:rsidP="004A5180">
      <w:pPr>
        <w:widowControl w:val="0"/>
        <w:suppressAutoHyphens/>
        <w:autoSpaceDN w:val="0"/>
        <w:spacing w:line="240" w:lineRule="auto"/>
        <w:jc w:val="both"/>
        <w:rPr>
          <w:rFonts w:ascii="Arial" w:eastAsia="SimSun" w:hAnsi="Arial" w:cs="Arial"/>
          <w:b/>
          <w:bCs/>
          <w:kern w:val="3"/>
          <w:sz w:val="18"/>
          <w:szCs w:val="18"/>
          <w:u w:val="single"/>
          <w:lang w:eastAsia="en-MY" w:bidi="hi-IN"/>
        </w:rPr>
      </w:pPr>
    </w:p>
    <w:p w14:paraId="78D921C4" w14:textId="77777777" w:rsidR="004A5180" w:rsidRPr="008E678C" w:rsidRDefault="004A5180" w:rsidP="004A5180">
      <w:pPr>
        <w:widowControl w:val="0"/>
        <w:suppressAutoHyphens/>
        <w:autoSpaceDN w:val="0"/>
        <w:spacing w:line="240" w:lineRule="auto"/>
        <w:jc w:val="both"/>
        <w:rPr>
          <w:rFonts w:ascii="Arial" w:eastAsia="SimSun" w:hAnsi="Arial" w:cs="Arial"/>
          <w:b/>
          <w:bCs/>
          <w:kern w:val="3"/>
          <w:sz w:val="18"/>
          <w:szCs w:val="18"/>
          <w:u w:val="single"/>
          <w:lang w:eastAsia="en-MY" w:bidi="hi-IN"/>
        </w:rPr>
      </w:pPr>
      <w:r w:rsidRPr="008E678C">
        <w:rPr>
          <w:rFonts w:ascii="Arial" w:eastAsia="SimSun" w:hAnsi="Arial" w:cs="Arial"/>
          <w:b/>
          <w:bCs/>
          <w:kern w:val="3"/>
          <w:sz w:val="18"/>
          <w:szCs w:val="18"/>
          <w:u w:val="single"/>
          <w:lang w:eastAsia="en-MY" w:bidi="hi-IN"/>
        </w:rPr>
        <w:t>Corporate News</w:t>
      </w:r>
      <w:bookmarkEnd w:id="1"/>
    </w:p>
    <w:p w14:paraId="3CF1676C" w14:textId="77777777" w:rsidR="004A5180" w:rsidRPr="008E678C" w:rsidRDefault="004A5180" w:rsidP="004A5180">
      <w:pPr>
        <w:autoSpaceDE w:val="0"/>
        <w:autoSpaceDN w:val="0"/>
        <w:adjustRightInd w:val="0"/>
        <w:spacing w:line="240" w:lineRule="auto"/>
        <w:jc w:val="both"/>
        <w:rPr>
          <w:rFonts w:ascii="Arial" w:eastAsia="Times New Roman" w:hAnsi="Arial" w:cs="Arial"/>
          <w:kern w:val="3"/>
          <w:sz w:val="18"/>
          <w:szCs w:val="18"/>
          <w:lang w:bidi="hi-IN"/>
        </w:rPr>
      </w:pPr>
      <w:proofErr w:type="spellStart"/>
      <w:r w:rsidRPr="008E678C">
        <w:rPr>
          <w:rFonts w:ascii="Arial" w:eastAsia="Times New Roman" w:hAnsi="Arial" w:cs="Arial"/>
          <w:kern w:val="3"/>
          <w:sz w:val="18"/>
          <w:szCs w:val="18"/>
          <w:lang w:bidi="hi-IN"/>
        </w:rPr>
        <w:t>ChangXin</w:t>
      </w:r>
      <w:proofErr w:type="spellEnd"/>
      <w:r w:rsidRPr="008E678C">
        <w:rPr>
          <w:rFonts w:ascii="Arial" w:eastAsia="Times New Roman" w:hAnsi="Arial" w:cs="Arial"/>
          <w:kern w:val="3"/>
          <w:sz w:val="18"/>
          <w:szCs w:val="18"/>
          <w:lang w:bidi="hi-IN"/>
        </w:rPr>
        <w:t xml:space="preserve"> Memory Technologies (CXMT), China's leading DRAM manufacturer, delivered exceptionally strong 1Q2026 results, with revenue surging more than sevenfold YoY to RMB50.8 billion and net profit reaching RMB25.0 billion, compared with a net loss of RMB1.6 billion a year earlier. The sharp turnaround was driven by robust demand for AI-related memory products, improving DRAM pricing, and higher production utilization. As one of CXMT's largest strategic investors, Alibaba is expected to benefit significantly from the company's upcoming Shanghai IPO, with its stake potentially valued at approximately RMB130 billion, implying an estimated 17-fold return and representing around 6–7% of Alibaba's current market capitalization. The IPO is expected to enhance investor confidence in China's semiconductor sector while further strengthening the country's domestic memory chip ecosystem amid ongoing efforts to achieve greater semiconductor self-sufficiency.</w:t>
      </w:r>
    </w:p>
    <w:p w14:paraId="14196098" w14:textId="77777777" w:rsidR="004A5180" w:rsidRPr="008E678C" w:rsidRDefault="004A5180" w:rsidP="004A5180">
      <w:pPr>
        <w:autoSpaceDE w:val="0"/>
        <w:autoSpaceDN w:val="0"/>
        <w:adjustRightInd w:val="0"/>
        <w:spacing w:line="240" w:lineRule="auto"/>
        <w:jc w:val="both"/>
        <w:rPr>
          <w:rFonts w:ascii="Arial" w:eastAsia="Times New Roman" w:hAnsi="Arial" w:cs="Arial"/>
          <w:kern w:val="3"/>
          <w:sz w:val="18"/>
          <w:szCs w:val="18"/>
          <w:lang w:bidi="hi-IN"/>
        </w:rPr>
      </w:pPr>
      <w:r w:rsidRPr="008E678C">
        <w:rPr>
          <w:rFonts w:ascii="Arial" w:eastAsia="Times New Roman" w:hAnsi="Arial" w:cs="Arial"/>
          <w:kern w:val="3"/>
          <w:sz w:val="18"/>
          <w:szCs w:val="18"/>
          <w:lang w:bidi="hi-IN"/>
        </w:rPr>
        <w:t xml:space="preserve">ASMPT reported a strong 2Q2026 results, with revenue rising 52.1% YoY and 24.4% </w:t>
      </w:r>
      <w:proofErr w:type="spellStart"/>
      <w:r w:rsidRPr="008E678C">
        <w:rPr>
          <w:rFonts w:ascii="Arial" w:eastAsia="Times New Roman" w:hAnsi="Arial" w:cs="Arial"/>
          <w:kern w:val="3"/>
          <w:sz w:val="18"/>
          <w:szCs w:val="18"/>
          <w:lang w:bidi="hi-IN"/>
        </w:rPr>
        <w:t>QoQ</w:t>
      </w:r>
      <w:proofErr w:type="spellEnd"/>
      <w:r w:rsidRPr="008E678C">
        <w:rPr>
          <w:rFonts w:ascii="Arial" w:eastAsia="Times New Roman" w:hAnsi="Arial" w:cs="Arial"/>
          <w:kern w:val="3"/>
          <w:sz w:val="18"/>
          <w:szCs w:val="18"/>
          <w:lang w:bidi="hi-IN"/>
        </w:rPr>
        <w:t xml:space="preserve"> to USD630 million, significantly exceeding management's guidance of USD470–530 million. The outperformance was driven by broad-based strength across both the Semiconductor (SEMI) and Surface Mount Technology (SMT) segments, supported by robust demand for advanced packaging solutions, AI servers, thermocompression bonders (TCB), and photonics applications. Group gross margin expanded to 42.4%, lifting net profit by 301% YoY to USD53.30 million. Order momentum also remained exceptionally strong, with bookings nearly doubling YoY to USD904 million and the book-to-bill ratio improving to 1.43x, the highest since 1H2021. The strong order backlog and sustained AI-driven demand provide greater earnings visibility and reinforce ASMPT's positive medium-term growth outlook.</w:t>
      </w:r>
    </w:p>
    <w:p w14:paraId="2C9B7033" w14:textId="77777777" w:rsidR="004A5180" w:rsidRPr="008E678C" w:rsidRDefault="004A5180" w:rsidP="004A5180">
      <w:pPr>
        <w:autoSpaceDE w:val="0"/>
        <w:autoSpaceDN w:val="0"/>
        <w:adjustRightInd w:val="0"/>
        <w:spacing w:line="240" w:lineRule="auto"/>
        <w:jc w:val="both"/>
        <w:rPr>
          <w:rFonts w:ascii="Arial" w:eastAsia="Times New Roman" w:hAnsi="Arial" w:cs="Arial"/>
          <w:kern w:val="3"/>
          <w:sz w:val="18"/>
          <w:szCs w:val="18"/>
          <w:lang w:bidi="hi-IN"/>
        </w:rPr>
      </w:pPr>
    </w:p>
    <w:p w14:paraId="622C2B38" w14:textId="77777777" w:rsidR="004A5180" w:rsidRPr="008E678C" w:rsidRDefault="004A5180" w:rsidP="004A5180">
      <w:pPr>
        <w:spacing w:before="240"/>
        <w:jc w:val="both"/>
        <w:rPr>
          <w:rFonts w:ascii="Arial" w:hAnsi="Arial" w:cs="Arial"/>
          <w:kern w:val="0"/>
          <w:sz w:val="18"/>
          <w:szCs w:val="18"/>
          <w:lang w:val="en-SG" w:eastAsia="en-SG"/>
        </w:rPr>
      </w:pPr>
      <w:r w:rsidRPr="008E678C">
        <w:rPr>
          <w:rFonts w:ascii="Arial" w:hAnsi="Arial" w:cs="Arial"/>
          <w:kern w:val="0"/>
          <w:sz w:val="18"/>
          <w:szCs w:val="18"/>
          <w:lang w:val="en-SG" w:eastAsia="en-SG"/>
        </w:rPr>
        <w:t xml:space="preserve">Alibaba 1QFY27 pre result briefing was positive as both domestic e-commerce and cloud outperformed expectations, while competitive intensity in quick delivery continues to moderate, supporting improving profitability. Domestic e-commerce EBITA is expected to decline only 3-4% vs decline 8% expectation amid easing price competition. Cloud revenue is expected to accelerate to 45% YoY from 38% in previous quarter and the management indicated that cloud growth could continue to accelerate in coming quarters. Cloud margin is expected to improve to 11-12% vs 9% in last quarter, supported by higher </w:t>
      </w:r>
      <w:proofErr w:type="spellStart"/>
      <w:r w:rsidRPr="008E678C">
        <w:rPr>
          <w:rFonts w:ascii="Arial" w:hAnsi="Arial" w:cs="Arial"/>
          <w:kern w:val="0"/>
          <w:sz w:val="18"/>
          <w:szCs w:val="18"/>
          <w:lang w:val="en-SG" w:eastAsia="en-SG"/>
        </w:rPr>
        <w:t>MaaS</w:t>
      </w:r>
      <w:proofErr w:type="spellEnd"/>
      <w:r w:rsidRPr="008E678C">
        <w:rPr>
          <w:rFonts w:ascii="Arial" w:hAnsi="Arial" w:cs="Arial"/>
          <w:kern w:val="0"/>
          <w:sz w:val="18"/>
          <w:szCs w:val="18"/>
          <w:lang w:val="en-SG" w:eastAsia="en-SG"/>
        </w:rPr>
        <w:t xml:space="preserve"> revenue mix and cost benefit from self-developed T-Head chips, with long term target margin around 20%. Quick commerce losses are expected to narrow to around RMB10bil in June quarter vs RMB18bil in March quarter. </w:t>
      </w:r>
    </w:p>
    <w:p w14:paraId="5382E340" w14:textId="77777777" w:rsidR="004A5180" w:rsidRPr="008E678C" w:rsidRDefault="004A5180" w:rsidP="004A5180">
      <w:pPr>
        <w:spacing w:before="240"/>
        <w:jc w:val="both"/>
        <w:rPr>
          <w:rFonts w:ascii="Arial" w:hAnsi="Arial" w:cs="Arial"/>
          <w:kern w:val="0"/>
          <w:sz w:val="18"/>
          <w:szCs w:val="18"/>
          <w:lang w:val="en-SG" w:eastAsia="en-SG"/>
        </w:rPr>
      </w:pPr>
      <w:r w:rsidRPr="008E678C">
        <w:rPr>
          <w:rFonts w:ascii="Arial" w:hAnsi="Arial" w:cs="Arial"/>
          <w:kern w:val="0"/>
          <w:sz w:val="18"/>
          <w:szCs w:val="18"/>
          <w:lang w:val="en-SG" w:eastAsia="en-SG"/>
        </w:rPr>
        <w:t xml:space="preserve">Li Ning recorded a flat YoY in retail sell-through in 2Q2026, with deepening discounts. The company intends to set inventory health as its top priority given tepid consumption demand and highly competitive industry landscape. Inventory level stood at 4 months vs 5 month in 1Q2026, which is healthy. Running and sports casual sell through turned to a YoY decline and basketball’s decline widened in 2Q2026 vs 1Q2026. Management maintains full year of high single digit revenue growth, and high single digit net margin range though the margin pressure may intensify in 2H2026 due to step up investments in branding. </w:t>
      </w:r>
    </w:p>
    <w:p w14:paraId="5F54FB45" w14:textId="77777777" w:rsidR="004A5180" w:rsidRPr="008E678C" w:rsidRDefault="004A5180" w:rsidP="004A5180">
      <w:pPr>
        <w:autoSpaceDE w:val="0"/>
        <w:autoSpaceDN w:val="0"/>
        <w:adjustRightInd w:val="0"/>
        <w:spacing w:line="240" w:lineRule="auto"/>
        <w:jc w:val="both"/>
        <w:rPr>
          <w:rFonts w:ascii="Arial" w:eastAsia="Times New Roman" w:hAnsi="Arial" w:cs="Arial"/>
          <w:kern w:val="3"/>
          <w:sz w:val="18"/>
          <w:szCs w:val="18"/>
          <w:lang w:bidi="hi-IN"/>
        </w:rPr>
      </w:pPr>
      <w:r w:rsidRPr="008E678C">
        <w:rPr>
          <w:rFonts w:ascii="Arial" w:hAnsi="Arial" w:cs="Arial"/>
          <w:kern w:val="0"/>
          <w:sz w:val="18"/>
          <w:szCs w:val="18"/>
          <w:lang w:val="en-SG" w:eastAsia="en-SG"/>
        </w:rPr>
        <w:lastRenderedPageBreak/>
        <w:t xml:space="preserve">Tencent recently launched its Hy3 foundation model, a 295 billion-parameter AI model designed with a strong focus on cost efficiency and deep integration across Tencent's ecosystem. The model has been incorporated into </w:t>
      </w:r>
      <w:proofErr w:type="spellStart"/>
      <w:r w:rsidRPr="008E678C">
        <w:rPr>
          <w:rFonts w:ascii="Arial" w:hAnsi="Arial" w:cs="Arial"/>
          <w:kern w:val="0"/>
          <w:sz w:val="18"/>
          <w:szCs w:val="18"/>
          <w:lang w:val="en-SG" w:eastAsia="en-SG"/>
        </w:rPr>
        <w:t>Yuanbao</w:t>
      </w:r>
      <w:proofErr w:type="spellEnd"/>
      <w:r w:rsidRPr="008E678C">
        <w:rPr>
          <w:rFonts w:ascii="Arial" w:hAnsi="Arial" w:cs="Arial"/>
          <w:kern w:val="0"/>
          <w:sz w:val="18"/>
          <w:szCs w:val="18"/>
          <w:lang w:val="en-SG" w:eastAsia="en-SG"/>
        </w:rPr>
        <w:t xml:space="preserve"> and </w:t>
      </w:r>
      <w:proofErr w:type="spellStart"/>
      <w:r w:rsidRPr="008E678C">
        <w:rPr>
          <w:rFonts w:ascii="Arial" w:hAnsi="Arial" w:cs="Arial"/>
          <w:kern w:val="0"/>
          <w:sz w:val="18"/>
          <w:szCs w:val="18"/>
          <w:lang w:val="en-SG" w:eastAsia="en-SG"/>
        </w:rPr>
        <w:t>WorkBuddy</w:t>
      </w:r>
      <w:proofErr w:type="spellEnd"/>
      <w:r w:rsidRPr="008E678C">
        <w:rPr>
          <w:rFonts w:ascii="Arial" w:hAnsi="Arial" w:cs="Arial"/>
          <w:kern w:val="0"/>
          <w:sz w:val="18"/>
          <w:szCs w:val="18"/>
          <w:lang w:val="en-SG" w:eastAsia="en-SG"/>
        </w:rPr>
        <w:t>, highlighting Tencent's strategy of combining proprietary AI models with its extensive consumer and enterprise applications. Meanwhile, gaming momentum remains strong with domestic and overseas gaming revenue expected to grow 11% and 8% YoY respectively in 2Q26, while online advertising revenue is projected to increase 20% YoY.</w:t>
      </w:r>
    </w:p>
    <w:p w14:paraId="5A386AEB" w14:textId="77777777" w:rsidR="004A5180" w:rsidRPr="008E678C" w:rsidRDefault="004A5180" w:rsidP="004A5180">
      <w:pPr>
        <w:autoSpaceDE w:val="0"/>
        <w:autoSpaceDN w:val="0"/>
        <w:adjustRightInd w:val="0"/>
        <w:spacing w:line="240" w:lineRule="auto"/>
        <w:jc w:val="both"/>
        <w:rPr>
          <w:rFonts w:ascii="Arial" w:eastAsia="Times New Roman" w:hAnsi="Arial" w:cs="Arial"/>
          <w:b/>
          <w:kern w:val="3"/>
          <w:sz w:val="18"/>
          <w:szCs w:val="18"/>
          <w:u w:val="single"/>
          <w:lang w:bidi="hi-IN"/>
        </w:rPr>
      </w:pPr>
      <w:r w:rsidRPr="008E678C">
        <w:rPr>
          <w:rFonts w:ascii="Arial" w:eastAsia="Times New Roman" w:hAnsi="Arial" w:cs="Arial"/>
          <w:b/>
          <w:kern w:val="3"/>
          <w:sz w:val="18"/>
          <w:szCs w:val="18"/>
          <w:u w:val="single"/>
          <w:lang w:bidi="hi-IN"/>
        </w:rPr>
        <w:t>Outlook</w:t>
      </w:r>
    </w:p>
    <w:p w14:paraId="416AA5F1"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u w:val="single"/>
        </w:rPr>
      </w:pPr>
      <w:r w:rsidRPr="008E678C">
        <w:rPr>
          <w:rFonts w:ascii="Arial" w:eastAsia="SimSun" w:hAnsi="Arial" w:cs="Arial"/>
          <w:kern w:val="3"/>
          <w:sz w:val="18"/>
          <w:szCs w:val="18"/>
          <w:lang w:bidi="hi-IN"/>
        </w:rPr>
        <w:t xml:space="preserve">We remain constructive on China’s economy given policies support to maintain growth and stability. The current challenges to revive economic activities and investors’ confidence are facing headwinds. </w:t>
      </w:r>
      <w:r w:rsidRPr="00E748B2">
        <w:rPr>
          <w:rFonts w:ascii="Arial" w:eastAsia="SimSun" w:hAnsi="Arial" w:cs="Arial"/>
          <w:kern w:val="3"/>
          <w:sz w:val="18"/>
          <w:szCs w:val="18"/>
          <w:lang w:bidi="hi-IN"/>
        </w:rPr>
        <w:t>Valuation metrics have moderated relative to recent historical levels</w:t>
      </w:r>
      <w:r w:rsidRPr="008E678C">
        <w:rPr>
          <w:rFonts w:ascii="Arial" w:eastAsia="SimSun" w:hAnsi="Arial" w:cs="Arial"/>
          <w:kern w:val="3"/>
          <w:sz w:val="18"/>
          <w:szCs w:val="18"/>
          <w:lang w:bidi="hi-IN"/>
        </w:rPr>
        <w:t>. We think it is necessary for the Chinese government to address the structure imbalances for a more balance and sustainable recovery. At present, the regulatory environment focuses on social stability overgrowth. We continue to favour companies with robust fundamentals, low valuations, good management, and low leverage.</w:t>
      </w:r>
    </w:p>
    <w:p w14:paraId="336CEFF5"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u w:val="single"/>
        </w:rPr>
      </w:pPr>
    </w:p>
    <w:p w14:paraId="753E68EF" w14:textId="77777777" w:rsidR="004A5180" w:rsidRPr="008E678C" w:rsidRDefault="004A5180" w:rsidP="004A5180">
      <w:pPr>
        <w:autoSpaceDE w:val="0"/>
        <w:autoSpaceDN w:val="0"/>
        <w:adjustRightInd w:val="0"/>
        <w:spacing w:line="240" w:lineRule="auto"/>
        <w:jc w:val="both"/>
        <w:rPr>
          <w:rFonts w:ascii="Arial" w:eastAsia="SimSun" w:hAnsi="Arial" w:cs="Arial"/>
          <w:b/>
          <w:sz w:val="18"/>
          <w:szCs w:val="18"/>
          <w:u w:val="single"/>
        </w:rPr>
      </w:pPr>
      <w:r w:rsidRPr="008E678C">
        <w:rPr>
          <w:rFonts w:ascii="Arial" w:eastAsia="SimSun" w:hAnsi="Arial" w:cs="Arial"/>
          <w:b/>
          <w:sz w:val="18"/>
          <w:szCs w:val="18"/>
          <w:u w:val="single"/>
        </w:rPr>
        <w:t>TAIWAN</w:t>
      </w:r>
    </w:p>
    <w:p w14:paraId="764C9E58"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Market Summary</w:t>
      </w:r>
    </w:p>
    <w:p w14:paraId="74638A2E" w14:textId="77777777" w:rsidR="004A5180" w:rsidRPr="008E678C" w:rsidRDefault="004A5180" w:rsidP="004A5180">
      <w:pPr>
        <w:tabs>
          <w:tab w:val="num" w:pos="0"/>
        </w:tabs>
        <w:autoSpaceDE w:val="0"/>
        <w:autoSpaceDN w:val="0"/>
        <w:adjustRightInd w:val="0"/>
        <w:spacing w:line="240" w:lineRule="auto"/>
        <w:jc w:val="both"/>
        <w:rPr>
          <w:rFonts w:ascii="Arial" w:hAnsi="Arial" w:cs="Arial"/>
          <w:sz w:val="18"/>
          <w:szCs w:val="18"/>
        </w:rPr>
      </w:pPr>
      <w:r w:rsidRPr="008E678C">
        <w:rPr>
          <w:rFonts w:ascii="Arial" w:hAnsi="Arial" w:cs="Arial"/>
          <w:sz w:val="18"/>
          <w:szCs w:val="18"/>
        </w:rPr>
        <w:t>The TWSE index closed the month of July at 43,119.75 points, declining 6.52% MoM.</w:t>
      </w:r>
    </w:p>
    <w:p w14:paraId="29B8FC6D" w14:textId="77777777" w:rsidR="004A5180" w:rsidRPr="008E678C" w:rsidRDefault="004A5180" w:rsidP="004A5180">
      <w:pPr>
        <w:tabs>
          <w:tab w:val="num" w:pos="0"/>
        </w:tabs>
        <w:autoSpaceDE w:val="0"/>
        <w:autoSpaceDN w:val="0"/>
        <w:adjustRightInd w:val="0"/>
        <w:spacing w:line="240" w:lineRule="auto"/>
        <w:jc w:val="both"/>
        <w:rPr>
          <w:rFonts w:ascii="Arial" w:hAnsi="Arial" w:cs="Arial"/>
          <w:sz w:val="18"/>
          <w:szCs w:val="18"/>
        </w:rPr>
      </w:pPr>
      <w:r w:rsidRPr="008E678C">
        <w:rPr>
          <w:rFonts w:ascii="Arial" w:eastAsia="SimSun" w:hAnsi="Arial" w:cs="Arial"/>
          <w:b/>
          <w:kern w:val="3"/>
          <w:sz w:val="18"/>
          <w:szCs w:val="18"/>
          <w:u w:val="single"/>
          <w:lang w:eastAsia="en-MY" w:bidi="hi-IN"/>
        </w:rPr>
        <w:t>Economic News</w:t>
      </w:r>
    </w:p>
    <w:p w14:paraId="38B8A2DC" w14:textId="77777777" w:rsidR="004A5180" w:rsidRPr="008E678C" w:rsidRDefault="004A5180" w:rsidP="004A5180">
      <w:pPr>
        <w:tabs>
          <w:tab w:val="num" w:pos="284"/>
          <w:tab w:val="left" w:pos="8184"/>
        </w:tabs>
        <w:autoSpaceDE w:val="0"/>
        <w:autoSpaceDN w:val="0"/>
        <w:adjustRightInd w:val="0"/>
        <w:spacing w:line="240" w:lineRule="auto"/>
        <w:jc w:val="both"/>
        <w:rPr>
          <w:rFonts w:ascii="Arial" w:eastAsia="SimSun" w:hAnsi="Arial" w:cs="Arial"/>
          <w:kern w:val="3"/>
          <w:sz w:val="18"/>
          <w:szCs w:val="18"/>
          <w:lang w:eastAsia="en-MY" w:bidi="hi-IN"/>
        </w:rPr>
      </w:pPr>
      <w:r w:rsidRPr="008E678C">
        <w:rPr>
          <w:rFonts w:ascii="Arial" w:eastAsia="SimSun" w:hAnsi="Arial" w:cs="Arial"/>
          <w:kern w:val="3"/>
          <w:sz w:val="18"/>
          <w:szCs w:val="18"/>
          <w:lang w:eastAsia="en-MY" w:bidi="hi-IN"/>
        </w:rPr>
        <w:t>Taiwan's export orders remained robust, rising to USD89.5 billion, up 2.3% MoM and 47.2% YoY, reflecting continued strength in global AI-related demand. Although the figure came in below market expectations, it highlighted sustained momentum across the technology supply chain. Demand was led by ICT and electronics, supported by ongoing investments in AI infrastructure and high-performance computing (HPC). ICT export orders increased 67.2% YoY to USD32.4 billion, driven by strong cloud-related demand for AI servers and networking equipment. Electronics orders rose 61.2% YoY to USD37.2 billion, underpinned by resilient demand across semiconductor manufacturing, chip distribution, and memory. Meanwhile, optical instrument orders declined 1.7% YoY, reflecting weaker display panel demand, although orders for AI-related semiconductor inspection and metrology equipment helped partially offset the softness. By destination, the United States remained the strongest growth market, with orders increasing 63.9% YoY, primarily driven by ICT products. Orders from Europe, China &amp; Hong Kong, ASEAN, and Japan also posted healthy growth of 48.7%, 37.5%, 31.6%, and 29.1% YoY, respectively. Overall, the data reinforces our view that AI-related capital expenditure continues to be the primary driver of Taiwan's export cycle, supporting a favourable outlook for the country's semiconductor and electronics supply chain.</w:t>
      </w:r>
    </w:p>
    <w:p w14:paraId="1E4CB3C8" w14:textId="77777777" w:rsidR="004A5180" w:rsidRPr="008E678C" w:rsidRDefault="004A5180" w:rsidP="004A5180">
      <w:pPr>
        <w:tabs>
          <w:tab w:val="num" w:pos="284"/>
          <w:tab w:val="left" w:pos="8184"/>
        </w:tabs>
        <w:autoSpaceDE w:val="0"/>
        <w:autoSpaceDN w:val="0"/>
        <w:adjustRightInd w:val="0"/>
        <w:spacing w:line="240" w:lineRule="auto"/>
        <w:jc w:val="both"/>
        <w:rPr>
          <w:rFonts w:ascii="Arial" w:eastAsia="SimSun" w:hAnsi="Arial" w:cs="Arial"/>
          <w:kern w:val="3"/>
          <w:sz w:val="18"/>
          <w:szCs w:val="18"/>
          <w:lang w:eastAsia="en-MY" w:bidi="hi-IN"/>
        </w:rPr>
      </w:pPr>
      <w:r w:rsidRPr="008E678C">
        <w:rPr>
          <w:rFonts w:ascii="Arial" w:eastAsia="SimSun" w:hAnsi="Arial" w:cs="Arial"/>
          <w:kern w:val="3"/>
          <w:sz w:val="18"/>
          <w:szCs w:val="18"/>
          <w:lang w:eastAsia="en-MY" w:bidi="hi-IN"/>
        </w:rPr>
        <w:t xml:space="preserve">Taiwan's housing market showed further signs of stabilization in July, with property transactions across the six special municipalities increasing for a second consecutive month. Total property transfers rose 12.0% MoM and 8.8% YoY to 20,506 units, reflecting a gradual return of buyer demand following a prolonged market slowdown. New Taipei City, Taoyuan, Taichung, Tainan, and Kaohsiung totalled 20,506 units last month, rising 12% MoM from June and up 8.8% YoY. New Taipei City recorded the highest transaction volume with 4,850 transactions, followed by Taoyuan with 4,150, Taichung (3,703), Kaohsiung (3,564), Taipei (2,352) and Tainan (1,887), indicating that demand remained concentrated in major urban </w:t>
      </w:r>
      <w:proofErr w:type="spellStart"/>
      <w:r w:rsidRPr="008E678C">
        <w:rPr>
          <w:rFonts w:ascii="Arial" w:eastAsia="SimSun" w:hAnsi="Arial" w:cs="Arial"/>
          <w:kern w:val="3"/>
          <w:sz w:val="18"/>
          <w:szCs w:val="18"/>
          <w:lang w:eastAsia="en-MY" w:bidi="hi-IN"/>
        </w:rPr>
        <w:t>centers</w:t>
      </w:r>
      <w:proofErr w:type="spellEnd"/>
      <w:r w:rsidRPr="008E678C">
        <w:rPr>
          <w:rFonts w:ascii="Arial" w:eastAsia="SimSun" w:hAnsi="Arial" w:cs="Arial"/>
          <w:kern w:val="3"/>
          <w:sz w:val="18"/>
          <w:szCs w:val="18"/>
          <w:lang w:eastAsia="en-MY" w:bidi="hi-IN"/>
        </w:rPr>
        <w:t>. The improvement in transaction activity suggests that housing market sentiment is gradually recovering, although elevated interest rates and affordability concerns are likely to keep the pace of recovery measured. In March 2026, the Central Bank of the Republic of China (CBC) moderately relaxed mortgage regulations by increasing the maximum loan-to-value (LTV) ratio for a natural person's second home purchase from 50% to 60%. The policy aims to provide greater financing flexibility for genuine home buyers while maintaining measures to curb speculative activity and excessive leverage in the property market.</w:t>
      </w:r>
    </w:p>
    <w:p w14:paraId="7F99BBAC" w14:textId="77777777" w:rsidR="004A5180" w:rsidRPr="008E678C" w:rsidRDefault="004A5180" w:rsidP="004A5180">
      <w:pPr>
        <w:tabs>
          <w:tab w:val="num" w:pos="284"/>
          <w:tab w:val="left" w:pos="8184"/>
        </w:tabs>
        <w:autoSpaceDE w:val="0"/>
        <w:autoSpaceDN w:val="0"/>
        <w:adjustRightInd w:val="0"/>
        <w:spacing w:line="240" w:lineRule="auto"/>
        <w:jc w:val="both"/>
        <w:rPr>
          <w:rFonts w:ascii="Arial" w:eastAsia="SimSun" w:hAnsi="Arial" w:cs="Arial"/>
          <w:kern w:val="3"/>
          <w:sz w:val="18"/>
          <w:szCs w:val="18"/>
          <w:lang w:eastAsia="en-MY" w:bidi="hi-IN"/>
        </w:rPr>
      </w:pPr>
      <w:r w:rsidRPr="008E678C">
        <w:rPr>
          <w:rFonts w:ascii="Arial" w:eastAsia="SimSun" w:hAnsi="Arial" w:cs="Arial"/>
          <w:b/>
          <w:kern w:val="3"/>
          <w:sz w:val="18"/>
          <w:szCs w:val="18"/>
          <w:u w:val="single"/>
          <w:lang w:eastAsia="en-MY" w:bidi="hi-IN"/>
        </w:rPr>
        <w:t>Corporate News</w:t>
      </w:r>
    </w:p>
    <w:p w14:paraId="47C1A248" w14:textId="77777777" w:rsidR="004A5180" w:rsidRDefault="004A5180" w:rsidP="004A5180">
      <w:pPr>
        <w:spacing w:line="240" w:lineRule="auto"/>
        <w:jc w:val="both"/>
        <w:rPr>
          <w:rFonts w:ascii="Arial" w:hAnsi="Arial" w:cs="Arial"/>
          <w:sz w:val="18"/>
          <w:szCs w:val="18"/>
        </w:rPr>
      </w:pPr>
      <w:r w:rsidRPr="008E678C">
        <w:rPr>
          <w:rFonts w:ascii="Arial" w:hAnsi="Arial" w:cs="Arial"/>
          <w:sz w:val="18"/>
          <w:szCs w:val="18"/>
        </w:rPr>
        <w:t xml:space="preserve">Taiwan Semiconductor Manufacturing Company Limited (TSMC) delivered another strong set of 2Q26 results, underpinned by robust AI-related demand and continued strength in high-performance computing (HPC). While gross margin of 67.7% came in slightly below bullish market expectations due to overseas expansion costs, operating margin improved to 60.3% on stronger operating leverage, 1.7ppts above consensus. Net income rose to TWD706.6 billion, translating into earnings per share (EPS) of TWD27.25, supported by a one-off gain of TWD63.2 billion from the disposal of shares and mark-to-market gains on its strategic investment in Vanguard International Semiconductor. Looking ahead, management guided for another 3Q26F sales of USD44.6-45.8bn, up 12% </w:t>
      </w:r>
      <w:proofErr w:type="spellStart"/>
      <w:r w:rsidRPr="008E678C">
        <w:rPr>
          <w:rFonts w:ascii="Arial" w:hAnsi="Arial" w:cs="Arial"/>
          <w:sz w:val="18"/>
          <w:szCs w:val="18"/>
        </w:rPr>
        <w:t>QoQ</w:t>
      </w:r>
      <w:proofErr w:type="spellEnd"/>
      <w:r w:rsidRPr="008E678C">
        <w:rPr>
          <w:rFonts w:ascii="Arial" w:hAnsi="Arial" w:cs="Arial"/>
          <w:sz w:val="18"/>
          <w:szCs w:val="18"/>
        </w:rPr>
        <w:t>, driven by accelerating demand for advanced chips and the ramp-up of its 2nm (N2) process technology.</w:t>
      </w:r>
      <w:r>
        <w:rPr>
          <w:rFonts w:ascii="Arial" w:hAnsi="Arial" w:cs="Arial"/>
          <w:sz w:val="18"/>
          <w:szCs w:val="18"/>
        </w:rPr>
        <w:t xml:space="preserve"> </w:t>
      </w:r>
    </w:p>
    <w:p w14:paraId="6A7B741A" w14:textId="77777777" w:rsidR="004A5180" w:rsidRPr="008E678C" w:rsidRDefault="004A5180" w:rsidP="004A5180">
      <w:pPr>
        <w:spacing w:line="240" w:lineRule="auto"/>
        <w:jc w:val="both"/>
        <w:rPr>
          <w:rFonts w:ascii="Arial" w:hAnsi="Arial" w:cs="Arial"/>
          <w:sz w:val="18"/>
          <w:szCs w:val="18"/>
        </w:rPr>
      </w:pPr>
      <w:r w:rsidRPr="00E748B2">
        <w:rPr>
          <w:rFonts w:ascii="Arial" w:hAnsi="Arial" w:cs="Arial"/>
          <w:sz w:val="18"/>
          <w:szCs w:val="18"/>
        </w:rPr>
        <w:t>According to management guidance, TSMC expects revenue growth of above 40% in 2026</w:t>
      </w:r>
      <w:r w:rsidRPr="008E678C">
        <w:rPr>
          <w:rFonts w:ascii="Arial" w:hAnsi="Arial" w:cs="Arial"/>
          <w:sz w:val="18"/>
          <w:szCs w:val="18"/>
        </w:rPr>
        <w:t xml:space="preserve"> YoY (from above 30%) and increased capital expenditure to USD60–64 billion, reinforcing confidence in the long-term AI investment cycle. The company also announced plans to invest an additional USD100 billion in its Arizona operations (on top of the USD165 billion already announced), underscoring its commitment to expanding advanced manufacturing capacity and strengthening its global semiconductor leadership.</w:t>
      </w:r>
    </w:p>
    <w:p w14:paraId="1D220262" w14:textId="77777777" w:rsidR="004A5180" w:rsidRPr="008E678C" w:rsidRDefault="004A5180" w:rsidP="004A5180">
      <w:pPr>
        <w:spacing w:line="240" w:lineRule="auto"/>
        <w:jc w:val="both"/>
        <w:rPr>
          <w:rFonts w:ascii="Arial" w:hAnsi="Arial" w:cs="Arial"/>
          <w:sz w:val="18"/>
          <w:szCs w:val="18"/>
        </w:rPr>
      </w:pPr>
      <w:proofErr w:type="spellStart"/>
      <w:r w:rsidRPr="008E678C">
        <w:rPr>
          <w:rFonts w:ascii="Arial" w:hAnsi="Arial" w:cs="Arial"/>
          <w:sz w:val="18"/>
          <w:szCs w:val="18"/>
        </w:rPr>
        <w:lastRenderedPageBreak/>
        <w:t>Airoha</w:t>
      </w:r>
      <w:proofErr w:type="spellEnd"/>
      <w:r w:rsidRPr="008E678C">
        <w:rPr>
          <w:rFonts w:ascii="Arial" w:hAnsi="Arial" w:cs="Arial"/>
          <w:sz w:val="18"/>
          <w:szCs w:val="18"/>
        </w:rPr>
        <w:t xml:space="preserve"> Technology Corp delivered stronger-than-expected 2Q2026 results, with revenue increasing 13.9% YoY to TWD6.29 billion, driven by robust demand across its Bluetooth audio, optical communications, Ethernet, and fixed broadband businesses. Growth was supported by increasing numbers of adoption, particularly for 50G DSP solutions, higher adoption of in-house transimpedance amplifiers (TIAs), and rising demand for Ethernet chips used in low-earth-orbit (LEO) satellite ground terminals. Although gross margin moderated 1.6ppts </w:t>
      </w:r>
      <w:proofErr w:type="spellStart"/>
      <w:r w:rsidRPr="008E678C">
        <w:rPr>
          <w:rFonts w:ascii="Arial" w:hAnsi="Arial" w:cs="Arial"/>
          <w:sz w:val="18"/>
          <w:szCs w:val="18"/>
        </w:rPr>
        <w:t>QoQ</w:t>
      </w:r>
      <w:proofErr w:type="spellEnd"/>
      <w:r w:rsidRPr="008E678C">
        <w:rPr>
          <w:rFonts w:ascii="Arial" w:hAnsi="Arial" w:cs="Arial"/>
          <w:sz w:val="18"/>
          <w:szCs w:val="18"/>
        </w:rPr>
        <w:t xml:space="preserve"> to 51.2% due to product mix changes, earnings remained strong, with EPS rising 17.7% </w:t>
      </w:r>
      <w:proofErr w:type="spellStart"/>
      <w:r w:rsidRPr="008E678C">
        <w:rPr>
          <w:rFonts w:ascii="Arial" w:hAnsi="Arial" w:cs="Arial"/>
          <w:sz w:val="18"/>
          <w:szCs w:val="18"/>
        </w:rPr>
        <w:t>QoQ</w:t>
      </w:r>
      <w:proofErr w:type="spellEnd"/>
      <w:r w:rsidRPr="008E678C">
        <w:rPr>
          <w:rFonts w:ascii="Arial" w:hAnsi="Arial" w:cs="Arial"/>
          <w:sz w:val="18"/>
          <w:szCs w:val="18"/>
        </w:rPr>
        <w:t xml:space="preserve"> to TWD5.25. Looking ahead, management expects networking to remain the key growth engine in 2H2026, supported by continued expansion in optical communications, 10G PON broadband deployments, and next-generation Ethernet applications. The company is also well positioned to benefit from growing AI infrastructure investment, with initial shipments of 100G optical communication products expected in 2H2026 and a more meaningful revenue contribution anticipated in 2027. Overall, </w:t>
      </w:r>
      <w:proofErr w:type="spellStart"/>
      <w:r w:rsidRPr="008E678C">
        <w:rPr>
          <w:rFonts w:ascii="Arial" w:hAnsi="Arial" w:cs="Arial"/>
          <w:sz w:val="18"/>
          <w:szCs w:val="18"/>
        </w:rPr>
        <w:t>Airoha's</w:t>
      </w:r>
      <w:proofErr w:type="spellEnd"/>
      <w:r w:rsidRPr="008E678C">
        <w:rPr>
          <w:rFonts w:ascii="Arial" w:hAnsi="Arial" w:cs="Arial"/>
          <w:sz w:val="18"/>
          <w:szCs w:val="18"/>
        </w:rPr>
        <w:t xml:space="preserve"> diversified connectivity portfolio and exposure to AI, cloud networking, and broadband infrastructure provide a favourable long-term growth outlook.</w:t>
      </w:r>
    </w:p>
    <w:p w14:paraId="3CC22386" w14:textId="77777777" w:rsidR="004A5180" w:rsidRPr="008E678C" w:rsidRDefault="004A5180" w:rsidP="004A5180">
      <w:pPr>
        <w:spacing w:line="240" w:lineRule="auto"/>
        <w:jc w:val="both"/>
        <w:rPr>
          <w:rFonts w:ascii="Arial" w:eastAsia="SimSun" w:hAnsi="Arial" w:cs="Arial"/>
          <w:b/>
          <w:kern w:val="3"/>
          <w:sz w:val="18"/>
          <w:szCs w:val="18"/>
          <w:u w:val="single"/>
          <w:lang w:eastAsia="en-MY" w:bidi="hi-IN"/>
        </w:rPr>
      </w:pPr>
      <w:r w:rsidRPr="008E678C">
        <w:rPr>
          <w:rFonts w:ascii="Arial" w:eastAsia="SimSun" w:hAnsi="Arial" w:cs="Arial"/>
          <w:b/>
          <w:kern w:val="3"/>
          <w:sz w:val="18"/>
          <w:szCs w:val="18"/>
          <w:u w:val="single"/>
          <w:lang w:eastAsia="en-MY" w:bidi="hi-IN"/>
        </w:rPr>
        <w:t>Outlook</w:t>
      </w:r>
      <w:bookmarkStart w:id="2" w:name="_Hlk211241060"/>
    </w:p>
    <w:bookmarkEnd w:id="2"/>
    <w:p w14:paraId="7ED98ED0" w14:textId="77777777" w:rsidR="004A5180" w:rsidRPr="008E678C" w:rsidRDefault="004A5180" w:rsidP="004A5180">
      <w:pPr>
        <w:tabs>
          <w:tab w:val="num" w:pos="284"/>
        </w:tabs>
        <w:autoSpaceDE w:val="0"/>
        <w:autoSpaceDN w:val="0"/>
        <w:adjustRightInd w:val="0"/>
        <w:spacing w:line="240" w:lineRule="auto"/>
        <w:jc w:val="both"/>
        <w:rPr>
          <w:rFonts w:ascii="Arial" w:eastAsia="SimSun" w:hAnsi="Arial" w:cs="Arial"/>
          <w:b/>
          <w:sz w:val="18"/>
          <w:szCs w:val="18"/>
          <w:u w:val="single"/>
        </w:rPr>
      </w:pPr>
      <w:r w:rsidRPr="008E678C">
        <w:rPr>
          <w:rFonts w:ascii="Arial" w:eastAsia="SimSun" w:hAnsi="Arial" w:cs="Arial"/>
          <w:kern w:val="3"/>
          <w:sz w:val="18"/>
          <w:szCs w:val="18"/>
          <w:lang w:eastAsia="en-MY" w:bidi="hi-IN"/>
        </w:rPr>
        <w:t xml:space="preserve">Taiwan remains a key market for AI supply chain investment, the depth of the electronics supply chain present opportunities to identify good companies that are less well-owned compared to the semiconductor sector. We are also exploring investment into non-electronics sector that will benefit from global structural trend.  We continue to favour companies which demonstrate low valuations, low leverage, high growth, robust </w:t>
      </w:r>
      <w:proofErr w:type="gramStart"/>
      <w:r w:rsidRPr="008E678C">
        <w:rPr>
          <w:rFonts w:ascii="Arial" w:eastAsia="SimSun" w:hAnsi="Arial" w:cs="Arial"/>
          <w:kern w:val="3"/>
          <w:sz w:val="18"/>
          <w:szCs w:val="18"/>
          <w:lang w:eastAsia="en-MY" w:bidi="hi-IN"/>
        </w:rPr>
        <w:t>management</w:t>
      </w:r>
      <w:proofErr w:type="gramEnd"/>
      <w:r w:rsidRPr="008E678C">
        <w:rPr>
          <w:rFonts w:ascii="Arial" w:eastAsia="SimSun" w:hAnsi="Arial" w:cs="Arial"/>
          <w:kern w:val="3"/>
          <w:sz w:val="18"/>
          <w:szCs w:val="18"/>
          <w:lang w:eastAsia="en-MY" w:bidi="hi-IN"/>
        </w:rPr>
        <w:t xml:space="preserve"> and a strong track record.</w:t>
      </w:r>
    </w:p>
    <w:p w14:paraId="7B48B82C" w14:textId="77777777" w:rsidR="004A5180" w:rsidRPr="008E678C" w:rsidRDefault="004A5180" w:rsidP="004A5180">
      <w:pPr>
        <w:tabs>
          <w:tab w:val="num" w:pos="284"/>
        </w:tabs>
        <w:autoSpaceDE w:val="0"/>
        <w:autoSpaceDN w:val="0"/>
        <w:adjustRightInd w:val="0"/>
        <w:spacing w:line="240" w:lineRule="auto"/>
        <w:jc w:val="both"/>
        <w:rPr>
          <w:rFonts w:ascii="Arial" w:eastAsia="SimSun" w:hAnsi="Arial" w:cs="Arial"/>
          <w:b/>
          <w:sz w:val="18"/>
          <w:szCs w:val="18"/>
          <w:u w:val="single"/>
        </w:rPr>
      </w:pPr>
    </w:p>
    <w:p w14:paraId="2FCE5E81" w14:textId="77777777" w:rsidR="004A5180" w:rsidRPr="008E678C" w:rsidRDefault="004A5180" w:rsidP="004A5180">
      <w:pPr>
        <w:tabs>
          <w:tab w:val="num" w:pos="284"/>
        </w:tabs>
        <w:autoSpaceDE w:val="0"/>
        <w:autoSpaceDN w:val="0"/>
        <w:adjustRightInd w:val="0"/>
        <w:spacing w:line="240" w:lineRule="auto"/>
        <w:jc w:val="both"/>
        <w:rPr>
          <w:rFonts w:ascii="Arial" w:eastAsia="SimSun" w:hAnsi="Arial" w:cs="Arial"/>
          <w:sz w:val="18"/>
          <w:szCs w:val="18"/>
        </w:rPr>
      </w:pPr>
      <w:r w:rsidRPr="008E678C">
        <w:rPr>
          <w:rFonts w:ascii="Arial" w:eastAsia="SimSun" w:hAnsi="Arial" w:cs="Arial"/>
          <w:b/>
          <w:sz w:val="18"/>
          <w:szCs w:val="18"/>
          <w:u w:val="single"/>
        </w:rPr>
        <w:t>VIETNAM</w:t>
      </w:r>
    </w:p>
    <w:p w14:paraId="1B0C51B5" w14:textId="77777777" w:rsidR="004A5180" w:rsidRPr="008E678C" w:rsidRDefault="004A5180" w:rsidP="004A5180">
      <w:pPr>
        <w:widowControl w:val="0"/>
        <w:suppressAutoHyphens/>
        <w:autoSpaceDN w:val="0"/>
        <w:spacing w:line="240" w:lineRule="auto"/>
        <w:jc w:val="both"/>
        <w:rPr>
          <w:rFonts w:ascii="Arial" w:eastAsia="SimSun" w:hAnsi="Arial" w:cs="Arial"/>
          <w:b/>
          <w:kern w:val="3"/>
          <w:sz w:val="18"/>
          <w:szCs w:val="18"/>
          <w:u w:val="single"/>
          <w:lang w:bidi="hi-IN"/>
        </w:rPr>
      </w:pPr>
      <w:r w:rsidRPr="008E678C">
        <w:rPr>
          <w:rFonts w:ascii="Arial" w:eastAsia="SimSun" w:hAnsi="Arial" w:cs="Arial"/>
          <w:b/>
          <w:kern w:val="3"/>
          <w:sz w:val="18"/>
          <w:szCs w:val="18"/>
          <w:u w:val="single"/>
          <w:lang w:bidi="hi-IN"/>
        </w:rPr>
        <w:t>Market Summary</w:t>
      </w:r>
    </w:p>
    <w:p w14:paraId="42A7543C" w14:textId="77777777" w:rsidR="004A5180" w:rsidRPr="008E678C" w:rsidRDefault="004A5180" w:rsidP="004A5180">
      <w:pPr>
        <w:spacing w:line="240" w:lineRule="auto"/>
        <w:jc w:val="both"/>
        <w:rPr>
          <w:rFonts w:ascii="Arial" w:hAnsi="Arial" w:cs="Arial"/>
          <w:bCs/>
          <w:sz w:val="18"/>
          <w:szCs w:val="18"/>
        </w:rPr>
      </w:pPr>
      <w:r w:rsidRPr="008E678C">
        <w:rPr>
          <w:rFonts w:ascii="Arial" w:hAnsi="Arial" w:cs="Arial"/>
          <w:bCs/>
          <w:sz w:val="18"/>
          <w:szCs w:val="18"/>
        </w:rPr>
        <w:t>The Vietnam Ho Chi Minh Stock Index (VNI) fell month-on-month, closing June at approximately 1,735.78 points (-6.68% MoM, +2.73% YTD). The index lost the 1,800 level by mid-month, plunged to an intra-month low of 1,668.53 on 22 July- its weakest level since early April. USD/VND was little changed over the month, easing 0.05% to 26,295.72 by 31 July from 26,309.56 at end-June, and essentially flat YTD (-0.01%) against the 26,298.00 base.</w:t>
      </w:r>
    </w:p>
    <w:p w14:paraId="28576694" w14:textId="77777777" w:rsidR="004A5180" w:rsidRPr="008E678C" w:rsidRDefault="004A5180" w:rsidP="004A5180">
      <w:pPr>
        <w:spacing w:line="240" w:lineRule="auto"/>
        <w:jc w:val="both"/>
        <w:rPr>
          <w:rFonts w:ascii="Arial" w:hAnsi="Arial" w:cs="Arial"/>
          <w:b/>
          <w:sz w:val="18"/>
          <w:szCs w:val="18"/>
          <w:u w:val="single"/>
        </w:rPr>
      </w:pPr>
      <w:r w:rsidRPr="008E678C">
        <w:rPr>
          <w:rFonts w:ascii="Arial" w:hAnsi="Arial" w:cs="Arial"/>
          <w:b/>
          <w:sz w:val="18"/>
          <w:szCs w:val="18"/>
          <w:u w:val="single"/>
        </w:rPr>
        <w:t>Economic News</w:t>
      </w:r>
    </w:p>
    <w:p w14:paraId="3C06FB01" w14:textId="77777777" w:rsidR="004A5180" w:rsidRPr="008E678C" w:rsidRDefault="004A5180" w:rsidP="004A5180">
      <w:pPr>
        <w:spacing w:line="240" w:lineRule="auto"/>
        <w:jc w:val="both"/>
        <w:rPr>
          <w:rFonts w:ascii="Arial" w:hAnsi="Arial" w:cs="Arial"/>
          <w:sz w:val="18"/>
          <w:szCs w:val="18"/>
        </w:rPr>
      </w:pPr>
      <w:r w:rsidRPr="008E678C">
        <w:rPr>
          <w:rFonts w:ascii="Arial" w:hAnsi="Arial" w:cs="Arial"/>
          <w:sz w:val="18"/>
          <w:szCs w:val="18"/>
        </w:rPr>
        <w:t>July CPI eased to 4.45% YoY from June's 4.69% staying under the government's 4.5% full-year target, while the S&amp;P Global Manufacturing PMI rose to a five-month high of 52.9 from 51.8 in June- its 13th straight month in expansion. Seven-month registered FDI surged 58% YoY to USD38.06billion and disbursed FDI rose 11.8% YoY to USD15.20billion, the highest seven-month figure in five years</w:t>
      </w:r>
      <w:r>
        <w:rPr>
          <w:rFonts w:ascii="Arial" w:hAnsi="Arial" w:cs="Arial"/>
          <w:sz w:val="18"/>
          <w:szCs w:val="18"/>
        </w:rPr>
        <w:t xml:space="preserve">. </w:t>
      </w:r>
      <w:r w:rsidRPr="008E678C">
        <w:rPr>
          <w:rFonts w:ascii="Arial" w:hAnsi="Arial" w:cs="Arial"/>
          <w:sz w:val="18"/>
          <w:szCs w:val="18"/>
        </w:rPr>
        <w:t>Trade turned negative: Vietnam posted a July deficit of USD3.59billion and a seven-month cumulative deficit of USD20.52billion versus a USD10.35billion surplus a year earlier, already exceeding the country's prior full-year record deficit.</w:t>
      </w:r>
    </w:p>
    <w:p w14:paraId="72D83AE3" w14:textId="77777777" w:rsidR="004A5180" w:rsidRPr="008E678C" w:rsidRDefault="004A5180" w:rsidP="004A5180">
      <w:pPr>
        <w:spacing w:line="240" w:lineRule="auto"/>
        <w:jc w:val="both"/>
        <w:rPr>
          <w:rFonts w:ascii="Arial" w:hAnsi="Arial" w:cs="Arial"/>
          <w:b/>
          <w:sz w:val="18"/>
          <w:szCs w:val="18"/>
          <w:u w:val="single"/>
        </w:rPr>
      </w:pPr>
      <w:r w:rsidRPr="008E678C">
        <w:rPr>
          <w:rFonts w:ascii="Arial" w:hAnsi="Arial" w:cs="Arial"/>
          <w:sz w:val="18"/>
          <w:szCs w:val="18"/>
        </w:rPr>
        <w:t>The SBV held its policy rate steady through July while managing liquidity via open market operations, net-withdrawing roughly VND26.35tn between 20-25 July as earlier stress eased; overnight interbank rates fell to a one-year low of around 1.3-2.5% by month-end. The FTSE Russell secondary emerging-market upgrade, effective 21 September 2026, remained on track and unaffected by the month's volatility, with a confirmed phased weighting of 10% from September 2026 rising to 35% by September 2027</w:t>
      </w:r>
      <w:r>
        <w:rPr>
          <w:rFonts w:ascii="Arial" w:hAnsi="Arial" w:cs="Arial"/>
          <w:sz w:val="18"/>
          <w:szCs w:val="18"/>
        </w:rPr>
        <w:t>.</w:t>
      </w:r>
    </w:p>
    <w:p w14:paraId="6C581B63" w14:textId="77777777" w:rsidR="004A5180" w:rsidRDefault="004A5180" w:rsidP="004A5180">
      <w:pPr>
        <w:spacing w:line="240" w:lineRule="auto"/>
        <w:jc w:val="both"/>
        <w:rPr>
          <w:rFonts w:ascii="Arial" w:hAnsi="Arial" w:cs="Arial"/>
          <w:b/>
          <w:sz w:val="18"/>
          <w:szCs w:val="18"/>
          <w:u w:val="single"/>
        </w:rPr>
      </w:pPr>
    </w:p>
    <w:p w14:paraId="0B1F87CC" w14:textId="77777777" w:rsidR="004A5180" w:rsidRPr="008E678C" w:rsidRDefault="004A5180" w:rsidP="004A5180">
      <w:pPr>
        <w:spacing w:line="240" w:lineRule="auto"/>
        <w:jc w:val="both"/>
        <w:rPr>
          <w:rFonts w:ascii="Arial" w:hAnsi="Arial" w:cs="Arial"/>
          <w:b/>
          <w:sz w:val="18"/>
          <w:szCs w:val="18"/>
          <w:u w:val="single"/>
        </w:rPr>
      </w:pPr>
      <w:r w:rsidRPr="008E678C">
        <w:rPr>
          <w:rFonts w:ascii="Arial" w:hAnsi="Arial" w:cs="Arial"/>
          <w:b/>
          <w:sz w:val="18"/>
          <w:szCs w:val="18"/>
          <w:u w:val="single"/>
        </w:rPr>
        <w:t>Corporate News</w:t>
      </w:r>
    </w:p>
    <w:p w14:paraId="53A96710" w14:textId="77777777" w:rsidR="004A5180" w:rsidRPr="008E678C" w:rsidRDefault="004A5180" w:rsidP="004A5180">
      <w:pPr>
        <w:spacing w:line="240" w:lineRule="auto"/>
        <w:jc w:val="both"/>
        <w:rPr>
          <w:rFonts w:ascii="Arial" w:hAnsi="Arial" w:cs="Arial"/>
          <w:sz w:val="18"/>
          <w:szCs w:val="18"/>
        </w:rPr>
      </w:pPr>
      <w:r w:rsidRPr="008E678C">
        <w:rPr>
          <w:rFonts w:ascii="Arial" w:hAnsi="Arial" w:cs="Arial"/>
          <w:sz w:val="18"/>
          <w:szCs w:val="18"/>
        </w:rPr>
        <w:t xml:space="preserve">Tay Ninh Rubber (TRC) 1Q26 net revenue was VND275.36billion (+21.8% YoY) and net profit after tax VND99.72billion (+41.6% YoY), though gross margin fell sharply to 27.1% from 38.9%; the profit jump was driven mainly by a VND39.62billion gain from fixed-asset liquidation booked in other income (versus a negligible VND49m a year earlier). Q2/2026 net revenue was VND127.05billion (-3.8% YoY), but net profit after tax rose 20.6% YoY to just over VND42billion as gross margin improved to 33.6% from 31.3%; TRC attributed this mainly to its Cambodian subsidiary, Tay Ninh </w:t>
      </w:r>
      <w:proofErr w:type="spellStart"/>
      <w:r w:rsidRPr="008E678C">
        <w:rPr>
          <w:rFonts w:ascii="Arial" w:hAnsi="Arial" w:cs="Arial"/>
          <w:sz w:val="18"/>
          <w:szCs w:val="18"/>
        </w:rPr>
        <w:t>Siem</w:t>
      </w:r>
      <w:proofErr w:type="spellEnd"/>
      <w:r w:rsidRPr="008E678C">
        <w:rPr>
          <w:rFonts w:ascii="Arial" w:hAnsi="Arial" w:cs="Arial"/>
          <w:sz w:val="18"/>
          <w:szCs w:val="18"/>
        </w:rPr>
        <w:t xml:space="preserve"> Reap PTCS, where a 20% YoY rise in consumption volume added about VND8.5billion to net profit. For H1/2026, net revenue reached VND402billion (+12% YoY) and net profit after tax VND142billion (+35% YoY), completing about 39.7% of TRC's full-year revenue target and 28.9% of its full-year profit target (a minimum VND491.27billion, nearly double 2025's VND250.58billion) set at the 30 June AGM. Total assets stood at VND2,433billion at end-June. </w:t>
      </w:r>
    </w:p>
    <w:p w14:paraId="24E3B55E" w14:textId="77777777" w:rsidR="004A5180" w:rsidRPr="008E678C" w:rsidRDefault="004A5180" w:rsidP="004A5180">
      <w:pPr>
        <w:spacing w:line="240" w:lineRule="auto"/>
        <w:jc w:val="both"/>
        <w:rPr>
          <w:rFonts w:ascii="Arial" w:hAnsi="Arial" w:cs="Arial"/>
          <w:sz w:val="18"/>
          <w:szCs w:val="18"/>
        </w:rPr>
      </w:pPr>
      <w:r w:rsidRPr="008E678C">
        <w:rPr>
          <w:rFonts w:ascii="Arial" w:hAnsi="Arial" w:cs="Arial"/>
          <w:sz w:val="18"/>
          <w:szCs w:val="18"/>
        </w:rPr>
        <w:t xml:space="preserve">Phu Nhuan </w:t>
      </w:r>
      <w:proofErr w:type="spellStart"/>
      <w:r w:rsidRPr="008E678C">
        <w:rPr>
          <w:rFonts w:ascii="Arial" w:hAnsi="Arial" w:cs="Arial"/>
          <w:sz w:val="18"/>
          <w:szCs w:val="18"/>
        </w:rPr>
        <w:t>Jewelry</w:t>
      </w:r>
      <w:proofErr w:type="spellEnd"/>
      <w:r w:rsidRPr="008E678C">
        <w:rPr>
          <w:rFonts w:ascii="Arial" w:hAnsi="Arial" w:cs="Arial"/>
          <w:sz w:val="18"/>
          <w:szCs w:val="18"/>
        </w:rPr>
        <w:t xml:space="preserve"> (PNJ) shares fell to VND40,900, a near five-year low, roughly 52% below the 52-week high of VND84,671, after the arrest of a former director of P-Lab (PNJ's in-house </w:t>
      </w:r>
      <w:proofErr w:type="spellStart"/>
      <w:r w:rsidRPr="008E678C">
        <w:rPr>
          <w:rFonts w:ascii="Arial" w:hAnsi="Arial" w:cs="Arial"/>
          <w:sz w:val="18"/>
          <w:szCs w:val="18"/>
        </w:rPr>
        <w:t>gemological</w:t>
      </w:r>
      <w:proofErr w:type="spellEnd"/>
      <w:r w:rsidRPr="008E678C">
        <w:rPr>
          <w:rFonts w:ascii="Arial" w:hAnsi="Arial" w:cs="Arial"/>
          <w:sz w:val="18"/>
          <w:szCs w:val="18"/>
        </w:rPr>
        <w:t xml:space="preserve"> lab), Dang Ngoc Thao, in connection with a diamond-smuggling ring involving more than 28,000 stones, alongside allegations of stripped GIA serial numbers and fraudulently issued P-Lab certification. With its stock trading in cascading floor-limit sessions from 3-7 July as the news broke, with contemporaneous market reports at the time noting </w:t>
      </w:r>
      <w:proofErr w:type="spellStart"/>
      <w:r w:rsidRPr="008E678C">
        <w:rPr>
          <w:rFonts w:ascii="Arial" w:hAnsi="Arial" w:cs="Arial"/>
          <w:sz w:val="18"/>
          <w:szCs w:val="18"/>
        </w:rPr>
        <w:t>VinaCapital</w:t>
      </w:r>
      <w:proofErr w:type="spellEnd"/>
      <w:r w:rsidRPr="008E678C">
        <w:rPr>
          <w:rFonts w:ascii="Arial" w:hAnsi="Arial" w:cs="Arial"/>
          <w:sz w:val="18"/>
          <w:szCs w:val="18"/>
        </w:rPr>
        <w:t xml:space="preserve"> had reduced its holding below the 5% disclosure threshold during the sell-off. The episode prompted rating and outlook reactions from several local brokerages, including SSI, </w:t>
      </w:r>
      <w:proofErr w:type="spellStart"/>
      <w:r w:rsidRPr="008E678C">
        <w:rPr>
          <w:rFonts w:ascii="Arial" w:hAnsi="Arial" w:cs="Arial"/>
          <w:sz w:val="18"/>
          <w:szCs w:val="18"/>
        </w:rPr>
        <w:t>Vietcap</w:t>
      </w:r>
      <w:proofErr w:type="spellEnd"/>
      <w:r w:rsidRPr="008E678C">
        <w:rPr>
          <w:rFonts w:ascii="Arial" w:hAnsi="Arial" w:cs="Arial"/>
          <w:sz w:val="18"/>
          <w:szCs w:val="18"/>
        </w:rPr>
        <w:t>, ACBS, Maybank and FPT Securities.</w:t>
      </w:r>
    </w:p>
    <w:p w14:paraId="4EB1A7D8" w14:textId="77777777" w:rsidR="004A5180" w:rsidRPr="008E678C" w:rsidRDefault="004A5180" w:rsidP="004A5180">
      <w:pPr>
        <w:spacing w:line="240" w:lineRule="auto"/>
        <w:jc w:val="both"/>
        <w:rPr>
          <w:rFonts w:ascii="Arial" w:hAnsi="Arial" w:cs="Arial"/>
          <w:sz w:val="18"/>
          <w:szCs w:val="18"/>
        </w:rPr>
      </w:pPr>
      <w:r w:rsidRPr="008E678C">
        <w:rPr>
          <w:rFonts w:ascii="Arial" w:hAnsi="Arial" w:cs="Arial"/>
          <w:sz w:val="18"/>
          <w:szCs w:val="18"/>
        </w:rPr>
        <w:lastRenderedPageBreak/>
        <w:t xml:space="preserve">Binh Minh Plastics (BMP) Q2 net revenue reached nearly VND1,319billion (+1% YoY), driven mainly by higher finished-goods sales, with gross margin holding at 46.7%, almost unchanged YoY. Selling expenses fell 26% YoY to ~VND110billion, lifting pre-tax profit to over VND459billion and net profit after tax to VND367billion (+11% YoY)- the highest quarterly profit in the company's history. For H1/2026, net revenue reached VND2,777billion (+3% YoY) and net profit after tax VND671billion (+9% YoY), equal to about 53% of BMP's full-year plan of VND6,053billion revenue and VND1,278billion profit. Total assets stood at VND3,355billion at end-June, little changed since the start of the year. At a Q3 investor meeting, CEO </w:t>
      </w:r>
      <w:proofErr w:type="spellStart"/>
      <w:r w:rsidRPr="008E678C">
        <w:rPr>
          <w:rFonts w:ascii="Arial" w:hAnsi="Arial" w:cs="Arial"/>
          <w:sz w:val="18"/>
          <w:szCs w:val="18"/>
        </w:rPr>
        <w:t>Niwat</w:t>
      </w:r>
      <w:proofErr w:type="spellEnd"/>
      <w:r w:rsidRPr="008E678C">
        <w:rPr>
          <w:rFonts w:ascii="Arial" w:hAnsi="Arial" w:cs="Arial"/>
          <w:sz w:val="18"/>
          <w:szCs w:val="18"/>
        </w:rPr>
        <w:t xml:space="preserve"> </w:t>
      </w:r>
      <w:proofErr w:type="spellStart"/>
      <w:r w:rsidRPr="008E678C">
        <w:rPr>
          <w:rFonts w:ascii="Arial" w:hAnsi="Arial" w:cs="Arial"/>
          <w:sz w:val="18"/>
          <w:szCs w:val="18"/>
        </w:rPr>
        <w:t>Athiwattananont</w:t>
      </w:r>
      <w:proofErr w:type="spellEnd"/>
      <w:r w:rsidRPr="008E678C">
        <w:rPr>
          <w:rFonts w:ascii="Arial" w:hAnsi="Arial" w:cs="Arial"/>
          <w:sz w:val="18"/>
          <w:szCs w:val="18"/>
        </w:rPr>
        <w:t xml:space="preserve"> said the company's 15% product price hike in Q2 was reasonable given higher raw material costs and addressed why inventory levels had roughly doubled during the quarter (</w:t>
      </w:r>
      <w:proofErr w:type="spellStart"/>
      <w:r w:rsidRPr="008E678C">
        <w:rPr>
          <w:rFonts w:ascii="Arial" w:hAnsi="Arial" w:cs="Arial"/>
          <w:sz w:val="18"/>
          <w:szCs w:val="18"/>
        </w:rPr>
        <w:t>Vietstock</w:t>
      </w:r>
      <w:proofErr w:type="spellEnd"/>
      <w:r w:rsidRPr="008E678C">
        <w:rPr>
          <w:rFonts w:ascii="Arial" w:hAnsi="Arial" w:cs="Arial"/>
          <w:sz w:val="18"/>
          <w:szCs w:val="18"/>
        </w:rPr>
        <w:t>).</w:t>
      </w:r>
    </w:p>
    <w:p w14:paraId="1080FB5D" w14:textId="77777777" w:rsidR="004A5180" w:rsidRPr="008E678C" w:rsidRDefault="004A5180" w:rsidP="004A5180">
      <w:pPr>
        <w:spacing w:line="240" w:lineRule="auto"/>
        <w:jc w:val="both"/>
        <w:rPr>
          <w:rFonts w:ascii="Arial" w:hAnsi="Arial" w:cs="Arial"/>
          <w:b/>
          <w:sz w:val="18"/>
          <w:szCs w:val="18"/>
          <w:u w:val="single"/>
        </w:rPr>
      </w:pPr>
      <w:proofErr w:type="spellStart"/>
      <w:r w:rsidRPr="008E678C">
        <w:rPr>
          <w:rFonts w:ascii="Arial" w:hAnsi="Arial" w:cs="Arial"/>
          <w:sz w:val="18"/>
          <w:szCs w:val="18"/>
        </w:rPr>
        <w:t>Dien</w:t>
      </w:r>
      <w:proofErr w:type="spellEnd"/>
      <w:r w:rsidRPr="008E678C">
        <w:rPr>
          <w:rFonts w:ascii="Arial" w:hAnsi="Arial" w:cs="Arial"/>
          <w:sz w:val="18"/>
          <w:szCs w:val="18"/>
        </w:rPr>
        <w:t xml:space="preserve"> May </w:t>
      </w:r>
      <w:proofErr w:type="spellStart"/>
      <w:r w:rsidRPr="008E678C">
        <w:rPr>
          <w:rFonts w:ascii="Arial" w:hAnsi="Arial" w:cs="Arial"/>
          <w:sz w:val="18"/>
          <w:szCs w:val="18"/>
        </w:rPr>
        <w:t>Xanh</w:t>
      </w:r>
      <w:proofErr w:type="spellEnd"/>
      <w:r w:rsidRPr="008E678C">
        <w:rPr>
          <w:rFonts w:ascii="Arial" w:hAnsi="Arial" w:cs="Arial"/>
          <w:sz w:val="18"/>
          <w:szCs w:val="18"/>
        </w:rPr>
        <w:t xml:space="preserve"> Investment (DMX) </w:t>
      </w:r>
      <w:proofErr w:type="gramStart"/>
      <w:r w:rsidRPr="008E678C">
        <w:rPr>
          <w:rFonts w:ascii="Arial" w:hAnsi="Arial" w:cs="Arial"/>
          <w:sz w:val="18"/>
          <w:szCs w:val="18"/>
        </w:rPr>
        <w:t>is</w:t>
      </w:r>
      <w:proofErr w:type="gramEnd"/>
      <w:r w:rsidRPr="008E678C">
        <w:rPr>
          <w:rFonts w:ascii="Arial" w:hAnsi="Arial" w:cs="Arial"/>
          <w:sz w:val="18"/>
          <w:szCs w:val="18"/>
        </w:rPr>
        <w:t xml:space="preserve"> set to list 1.27billion shares on HSX on 6 August 2026 at VND80,000/share, matching its June 2026 IPO price after 93% of offered volume was allocated, raising VND13,315billion (~USD502m) earmarked primarily to reduce debt (VND22,403billion at 1H2026-end); MWG's post-listing stake stands at 86.0%. Per ACBS, 1H2026 net revenue (like-for-like, excluding An Khang/</w:t>
      </w:r>
      <w:proofErr w:type="spellStart"/>
      <w:r w:rsidRPr="008E678C">
        <w:rPr>
          <w:rFonts w:ascii="Arial" w:hAnsi="Arial" w:cs="Arial"/>
          <w:sz w:val="18"/>
          <w:szCs w:val="18"/>
        </w:rPr>
        <w:t>AvaKids</w:t>
      </w:r>
      <w:proofErr w:type="spellEnd"/>
      <w:r w:rsidRPr="008E678C">
        <w:rPr>
          <w:rFonts w:ascii="Arial" w:hAnsi="Arial" w:cs="Arial"/>
          <w:sz w:val="18"/>
          <w:szCs w:val="18"/>
        </w:rPr>
        <w:t>, including DMX Technician Services) rose 31% YoY to VND65,280billion, while earnings after tax jumped 62% YoY to VND4,876billion, driven by a partial demand recovery, a 49% YoY rise in consumer-financing take-up, higher average selling prices from new features/technologies and the memory-chip shortage, and margin expansion from an improved product mix. The Era Blue joint venture continued expanding to 261 stores (+146 YoY, +80 YTD), though its profit contribution remains modest at VND28billion in 1H2026. For full-year 2026, DMX targets VND122,300billion revenue (+14.5% YoY LFL) and VND7,350billion EAT (+20.5% YoY LFL); management targets an 11% revenue and 16% EAT CAGR over 2025-2030. DMX has committed to a VND4,000/share post-listing dividend and an ongoing payout of at least 50% of earnings after tax.</w:t>
      </w:r>
    </w:p>
    <w:p w14:paraId="3F37D5DC" w14:textId="77777777" w:rsidR="004A5180" w:rsidRPr="008E678C" w:rsidRDefault="004A5180" w:rsidP="004A5180">
      <w:pPr>
        <w:spacing w:line="240" w:lineRule="auto"/>
        <w:jc w:val="both"/>
        <w:rPr>
          <w:rFonts w:ascii="Arial" w:hAnsi="Arial" w:cs="Arial"/>
          <w:b/>
          <w:sz w:val="18"/>
          <w:szCs w:val="18"/>
          <w:u w:val="single"/>
        </w:rPr>
      </w:pPr>
      <w:r w:rsidRPr="008E678C">
        <w:rPr>
          <w:rFonts w:ascii="Arial" w:hAnsi="Arial" w:cs="Arial"/>
          <w:b/>
          <w:sz w:val="18"/>
          <w:szCs w:val="18"/>
          <w:u w:val="single"/>
        </w:rPr>
        <w:t>Outlook</w:t>
      </w:r>
      <w:bookmarkStart w:id="3" w:name="ToBeSaved03"/>
      <w:bookmarkEnd w:id="3"/>
    </w:p>
    <w:p w14:paraId="5C141FCD" w14:textId="77777777" w:rsidR="004A5180" w:rsidRPr="008E678C" w:rsidRDefault="004A5180" w:rsidP="004A5180">
      <w:pPr>
        <w:autoSpaceDE w:val="0"/>
        <w:autoSpaceDN w:val="0"/>
        <w:adjustRightInd w:val="0"/>
        <w:spacing w:line="240" w:lineRule="auto"/>
        <w:jc w:val="both"/>
        <w:rPr>
          <w:rFonts w:ascii="Arial" w:hAnsi="Arial" w:cs="Arial"/>
          <w:bCs/>
          <w:sz w:val="18"/>
          <w:szCs w:val="18"/>
        </w:rPr>
      </w:pPr>
      <w:r w:rsidRPr="008E678C">
        <w:rPr>
          <w:rFonts w:ascii="Arial" w:hAnsi="Arial" w:cs="Arial"/>
          <w:bCs/>
          <w:sz w:val="18"/>
          <w:szCs w:val="18"/>
        </w:rPr>
        <w:t>The July sell-off pushed the VN-Index back into negative YTD territory (-2.73%) for the first time since the spring rally faded, reversing the gains built up earlier in the year. Unlike April's advance, which was narrow and concentrated in a handful of large caps, July's decline was broad-based across banking, securities, and real estate, driven by a domestic liquidity/rate squeeze, forced margin selling, and persistent foreign net selling (cumulative YTD outflows above VND94trillion), before a late month rebound clawed back part of the drop. July CPI at 4.45% YoY remains under the government's 4.5% ceiling, but the widening deficit and foreign selling leave both the currency and the market more exposed to a fresh shock than the disinflation narrative alone would suggest.</w:t>
      </w:r>
    </w:p>
    <w:p w14:paraId="0B14F53C" w14:textId="77777777" w:rsidR="004A5180" w:rsidRPr="008E678C" w:rsidRDefault="004A5180" w:rsidP="004A5180">
      <w:pPr>
        <w:autoSpaceDE w:val="0"/>
        <w:autoSpaceDN w:val="0"/>
        <w:adjustRightInd w:val="0"/>
        <w:spacing w:line="240" w:lineRule="auto"/>
        <w:jc w:val="both"/>
        <w:rPr>
          <w:rFonts w:ascii="Arial" w:hAnsi="Arial" w:cs="Arial"/>
          <w:bCs/>
          <w:sz w:val="18"/>
          <w:szCs w:val="18"/>
        </w:rPr>
      </w:pPr>
      <w:r w:rsidRPr="008E678C">
        <w:rPr>
          <w:rFonts w:ascii="Arial" w:hAnsi="Arial" w:cs="Arial"/>
          <w:bCs/>
          <w:sz w:val="18"/>
          <w:szCs w:val="18"/>
        </w:rPr>
        <w:t xml:space="preserve">Against this backdrop, the FTSE Russell secondary emerging-market upgrade (effective 21 September 2026) remains the clearest medium-term anchor for institutional positioning, and the next few weeks of data, August CPI, </w:t>
      </w:r>
      <w:proofErr w:type="gramStart"/>
      <w:r w:rsidRPr="008E678C">
        <w:rPr>
          <w:rFonts w:ascii="Arial" w:hAnsi="Arial" w:cs="Arial"/>
          <w:bCs/>
          <w:sz w:val="18"/>
          <w:szCs w:val="18"/>
        </w:rPr>
        <w:t>trade</w:t>
      </w:r>
      <w:proofErr w:type="gramEnd"/>
      <w:r w:rsidRPr="008E678C">
        <w:rPr>
          <w:rFonts w:ascii="Arial" w:hAnsi="Arial" w:cs="Arial"/>
          <w:bCs/>
          <w:sz w:val="18"/>
          <w:szCs w:val="18"/>
        </w:rPr>
        <w:t xml:space="preserve"> and PMI prints, should show whether July's correction was a shakeout or the start of a deeper de-rating.</w:t>
      </w:r>
    </w:p>
    <w:p w14:paraId="3E10B8A4" w14:textId="77777777" w:rsidR="004A5180" w:rsidRPr="008E678C" w:rsidRDefault="004A5180" w:rsidP="004A5180">
      <w:pPr>
        <w:autoSpaceDE w:val="0"/>
        <w:autoSpaceDN w:val="0"/>
        <w:adjustRightInd w:val="0"/>
        <w:spacing w:line="240" w:lineRule="auto"/>
        <w:jc w:val="both"/>
        <w:rPr>
          <w:rFonts w:ascii="Arial" w:hAnsi="Arial" w:cs="Arial"/>
          <w:b/>
          <w:bCs/>
          <w:sz w:val="18"/>
          <w:szCs w:val="18"/>
        </w:rPr>
      </w:pPr>
    </w:p>
    <w:p w14:paraId="22884E1C" w14:textId="77777777" w:rsidR="004A5180" w:rsidRPr="008E678C" w:rsidRDefault="004A5180" w:rsidP="004A5180">
      <w:pPr>
        <w:autoSpaceDE w:val="0"/>
        <w:autoSpaceDN w:val="0"/>
        <w:adjustRightInd w:val="0"/>
        <w:spacing w:line="240" w:lineRule="auto"/>
        <w:jc w:val="both"/>
        <w:rPr>
          <w:rFonts w:ascii="Arial" w:hAnsi="Arial" w:cs="Arial"/>
          <w:b/>
          <w:bCs/>
          <w:sz w:val="18"/>
          <w:szCs w:val="18"/>
        </w:rPr>
      </w:pPr>
    </w:p>
    <w:p w14:paraId="62295C8A" w14:textId="77777777" w:rsidR="004A5180" w:rsidRPr="008E678C" w:rsidRDefault="004A5180" w:rsidP="004A5180">
      <w:pPr>
        <w:autoSpaceDE w:val="0"/>
        <w:autoSpaceDN w:val="0"/>
        <w:adjustRightInd w:val="0"/>
        <w:spacing w:line="240" w:lineRule="auto"/>
        <w:jc w:val="both"/>
        <w:rPr>
          <w:rFonts w:ascii="Arial" w:hAnsi="Arial" w:cs="Arial"/>
          <w:b/>
          <w:bCs/>
          <w:sz w:val="18"/>
          <w:szCs w:val="18"/>
        </w:rPr>
      </w:pPr>
    </w:p>
    <w:p w14:paraId="67D00833" w14:textId="77777777" w:rsidR="004A5180" w:rsidRPr="008E678C" w:rsidRDefault="004A5180" w:rsidP="004A5180">
      <w:pPr>
        <w:autoSpaceDE w:val="0"/>
        <w:autoSpaceDN w:val="0"/>
        <w:adjustRightInd w:val="0"/>
        <w:spacing w:line="240" w:lineRule="auto"/>
        <w:jc w:val="both"/>
        <w:rPr>
          <w:rFonts w:ascii="Arial" w:hAnsi="Arial" w:cs="Arial"/>
          <w:b/>
          <w:bCs/>
          <w:sz w:val="18"/>
          <w:szCs w:val="18"/>
        </w:rPr>
      </w:pPr>
    </w:p>
    <w:p w14:paraId="32D78636" w14:textId="77777777" w:rsidR="004A5180" w:rsidRPr="008E678C" w:rsidRDefault="004A5180" w:rsidP="004A5180">
      <w:pPr>
        <w:autoSpaceDE w:val="0"/>
        <w:autoSpaceDN w:val="0"/>
        <w:adjustRightInd w:val="0"/>
        <w:spacing w:line="240" w:lineRule="auto"/>
        <w:jc w:val="both"/>
        <w:rPr>
          <w:rFonts w:ascii="Arial" w:hAnsi="Arial" w:cs="Arial"/>
          <w:b/>
          <w:bCs/>
          <w:sz w:val="18"/>
          <w:szCs w:val="18"/>
        </w:rPr>
      </w:pPr>
    </w:p>
    <w:p w14:paraId="11449EDC"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108F1E37"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5D86D19C"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18243F44"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419BD544" w14:textId="77777777" w:rsidR="004A5180" w:rsidRDefault="004A5180" w:rsidP="004A5180">
      <w:pPr>
        <w:autoSpaceDE w:val="0"/>
        <w:autoSpaceDN w:val="0"/>
        <w:adjustRightInd w:val="0"/>
        <w:spacing w:line="240" w:lineRule="auto"/>
        <w:jc w:val="both"/>
        <w:rPr>
          <w:rFonts w:ascii="Arial" w:hAnsi="Arial" w:cs="Arial"/>
          <w:b/>
          <w:bCs/>
          <w:sz w:val="18"/>
          <w:szCs w:val="18"/>
        </w:rPr>
      </w:pPr>
      <w:r w:rsidRPr="00E748B2">
        <w:rPr>
          <w:rFonts w:ascii="Arial" w:hAnsi="Arial" w:cs="Arial"/>
          <w:b/>
          <w:bCs/>
          <w:sz w:val="18"/>
          <w:szCs w:val="18"/>
        </w:rPr>
        <w:t xml:space="preserve">Sources: </w:t>
      </w:r>
    </w:p>
    <w:p w14:paraId="12516913" w14:textId="77777777" w:rsidR="004A5180" w:rsidRPr="00E748B2" w:rsidRDefault="004A5180" w:rsidP="004A5180">
      <w:pPr>
        <w:autoSpaceDE w:val="0"/>
        <w:autoSpaceDN w:val="0"/>
        <w:adjustRightInd w:val="0"/>
        <w:spacing w:line="240" w:lineRule="auto"/>
        <w:jc w:val="both"/>
        <w:rPr>
          <w:rFonts w:ascii="Arial" w:hAnsi="Arial" w:cs="Arial"/>
          <w:sz w:val="18"/>
          <w:szCs w:val="18"/>
        </w:rPr>
      </w:pPr>
      <w:r w:rsidRPr="00E748B2">
        <w:rPr>
          <w:rFonts w:ascii="Arial" w:hAnsi="Arial" w:cs="Arial"/>
          <w:sz w:val="18"/>
          <w:szCs w:val="18"/>
        </w:rPr>
        <w:t>The information, data, forecasts, and key metrics presented in this report have been compiled from various sources deemed reliable, including Bloomberg, company announcements and filings</w:t>
      </w:r>
      <w:r>
        <w:rPr>
          <w:rFonts w:ascii="Arial" w:hAnsi="Arial" w:cs="Arial"/>
          <w:sz w:val="18"/>
          <w:szCs w:val="18"/>
        </w:rPr>
        <w:t xml:space="preserve"> in Bursa Malaysia</w:t>
      </w:r>
      <w:r w:rsidRPr="00E748B2">
        <w:rPr>
          <w:rFonts w:ascii="Arial" w:hAnsi="Arial" w:cs="Arial"/>
          <w:sz w:val="18"/>
          <w:szCs w:val="18"/>
        </w:rPr>
        <w:t xml:space="preserve">, the Department of Statistics Malaysia (DOSM), Malaysian Investment Development Authority (MIDA), Ministry of Investment, </w:t>
      </w:r>
      <w:proofErr w:type="gramStart"/>
      <w:r w:rsidRPr="00E748B2">
        <w:rPr>
          <w:rFonts w:ascii="Arial" w:hAnsi="Arial" w:cs="Arial"/>
          <w:sz w:val="18"/>
          <w:szCs w:val="18"/>
        </w:rPr>
        <w:t>Trade</w:t>
      </w:r>
      <w:proofErr w:type="gramEnd"/>
      <w:r w:rsidRPr="00E748B2">
        <w:rPr>
          <w:rFonts w:ascii="Arial" w:hAnsi="Arial" w:cs="Arial"/>
          <w:sz w:val="18"/>
          <w:szCs w:val="18"/>
        </w:rPr>
        <w:t xml:space="preserve"> and Industry (MITI), as well as published research reports from investment and research houses</w:t>
      </w:r>
      <w:r>
        <w:rPr>
          <w:rFonts w:ascii="Arial" w:hAnsi="Arial" w:cs="Arial"/>
          <w:sz w:val="18"/>
          <w:szCs w:val="18"/>
        </w:rPr>
        <w:t>.</w:t>
      </w:r>
      <w:r w:rsidRPr="00E748B2">
        <w:rPr>
          <w:rFonts w:ascii="Arial" w:hAnsi="Arial" w:cs="Arial"/>
          <w:sz w:val="18"/>
          <w:szCs w:val="18"/>
        </w:rPr>
        <w:t xml:space="preserve"> Additional insights and qualitative assessments are derived from discussions with company management, management briefings, analyst meetings, and management guidance where applicable. While reasonable efforts have been made to ensure the accuracy and completeness of the information, no representation or warranty is provided regarding its accuracy or completeness.</w:t>
      </w:r>
    </w:p>
    <w:tbl>
      <w:tblPr>
        <w:tblStyle w:val="TableGrid"/>
        <w:tblW w:w="0" w:type="auto"/>
        <w:tblLook w:val="04A0" w:firstRow="1" w:lastRow="0" w:firstColumn="1" w:lastColumn="0" w:noHBand="0" w:noVBand="1"/>
      </w:tblPr>
      <w:tblGrid>
        <w:gridCol w:w="5125"/>
      </w:tblGrid>
      <w:tr w:rsidR="004A5180" w:rsidRPr="00A0550D" w14:paraId="10C8F59F" w14:textId="77777777" w:rsidTr="009834A9">
        <w:tc>
          <w:tcPr>
            <w:tcW w:w="5125" w:type="dxa"/>
          </w:tcPr>
          <w:p w14:paraId="5838A96F" w14:textId="77777777" w:rsidR="004A5180" w:rsidRPr="00A0550D" w:rsidRDefault="004A5180" w:rsidP="009834A9">
            <w:pPr>
              <w:autoSpaceDE w:val="0"/>
              <w:autoSpaceDN w:val="0"/>
              <w:adjustRightInd w:val="0"/>
              <w:jc w:val="both"/>
              <w:rPr>
                <w:rFonts w:ascii="Arial" w:hAnsi="Arial" w:cs="Arial"/>
                <w:b/>
                <w:bCs/>
                <w:sz w:val="18"/>
                <w:szCs w:val="18"/>
              </w:rPr>
            </w:pPr>
            <w:r w:rsidRPr="00A0550D">
              <w:rPr>
                <w:rFonts w:ascii="Arial" w:hAnsi="Arial" w:cs="Arial"/>
                <w:b/>
                <w:bCs/>
                <w:sz w:val="18"/>
                <w:szCs w:val="18"/>
              </w:rPr>
              <w:t>Research/Broker Houses Involved:</w:t>
            </w:r>
          </w:p>
        </w:tc>
      </w:tr>
      <w:tr w:rsidR="004A5180" w:rsidRPr="00A0550D" w14:paraId="3B364501" w14:textId="77777777" w:rsidTr="009834A9">
        <w:tc>
          <w:tcPr>
            <w:tcW w:w="5125" w:type="dxa"/>
          </w:tcPr>
          <w:p w14:paraId="088396A1" w14:textId="77777777" w:rsidR="004A5180" w:rsidRPr="00A0550D" w:rsidRDefault="004A5180" w:rsidP="009834A9">
            <w:pPr>
              <w:autoSpaceDE w:val="0"/>
              <w:autoSpaceDN w:val="0"/>
              <w:adjustRightInd w:val="0"/>
              <w:jc w:val="both"/>
              <w:rPr>
                <w:rFonts w:ascii="Arial" w:hAnsi="Arial" w:cs="Arial"/>
                <w:sz w:val="18"/>
                <w:szCs w:val="18"/>
              </w:rPr>
            </w:pPr>
            <w:proofErr w:type="spellStart"/>
            <w:r w:rsidRPr="00A0550D">
              <w:rPr>
                <w:rFonts w:ascii="Arial" w:hAnsi="Arial" w:cs="Arial"/>
                <w:sz w:val="18"/>
                <w:szCs w:val="18"/>
              </w:rPr>
              <w:t>Affin</w:t>
            </w:r>
            <w:proofErr w:type="spellEnd"/>
            <w:r w:rsidRPr="00A0550D">
              <w:rPr>
                <w:rFonts w:ascii="Arial" w:hAnsi="Arial" w:cs="Arial"/>
                <w:sz w:val="18"/>
                <w:szCs w:val="18"/>
              </w:rPr>
              <w:t xml:space="preserve"> Hwang Investment Bank </w:t>
            </w:r>
            <w:proofErr w:type="spellStart"/>
            <w:r w:rsidRPr="00A0550D">
              <w:rPr>
                <w:rFonts w:ascii="Arial" w:hAnsi="Arial" w:cs="Arial"/>
                <w:sz w:val="18"/>
                <w:szCs w:val="18"/>
              </w:rPr>
              <w:t>Bhd</w:t>
            </w:r>
            <w:proofErr w:type="spellEnd"/>
          </w:p>
        </w:tc>
      </w:tr>
      <w:tr w:rsidR="004A5180" w:rsidRPr="00A0550D" w14:paraId="62B1B3B9" w14:textId="77777777" w:rsidTr="009834A9">
        <w:tc>
          <w:tcPr>
            <w:tcW w:w="5125" w:type="dxa"/>
          </w:tcPr>
          <w:p w14:paraId="2C01F8C7"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APEX Securities </w:t>
            </w:r>
            <w:proofErr w:type="spellStart"/>
            <w:r w:rsidRPr="00A0550D">
              <w:rPr>
                <w:rFonts w:ascii="Arial" w:hAnsi="Arial" w:cs="Arial"/>
                <w:sz w:val="18"/>
                <w:szCs w:val="18"/>
              </w:rPr>
              <w:t>Bhd</w:t>
            </w:r>
            <w:proofErr w:type="spellEnd"/>
          </w:p>
        </w:tc>
      </w:tr>
      <w:tr w:rsidR="004A5180" w:rsidRPr="00A0550D" w14:paraId="3A560F84" w14:textId="77777777" w:rsidTr="009834A9">
        <w:tc>
          <w:tcPr>
            <w:tcW w:w="5125" w:type="dxa"/>
          </w:tcPr>
          <w:p w14:paraId="56489A58"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lastRenderedPageBreak/>
              <w:t xml:space="preserve">CGS International Securities Malaysia </w:t>
            </w:r>
            <w:proofErr w:type="spellStart"/>
            <w:r w:rsidRPr="00A0550D">
              <w:rPr>
                <w:rFonts w:ascii="Arial" w:hAnsi="Arial" w:cs="Arial"/>
                <w:sz w:val="18"/>
                <w:szCs w:val="18"/>
              </w:rPr>
              <w:t>Sdn</w:t>
            </w:r>
            <w:proofErr w:type="spellEnd"/>
            <w:r w:rsidRPr="00A0550D">
              <w:rPr>
                <w:rFonts w:ascii="Arial" w:hAnsi="Arial" w:cs="Arial"/>
                <w:sz w:val="18"/>
                <w:szCs w:val="18"/>
              </w:rPr>
              <w:t xml:space="preserve"> </w:t>
            </w:r>
            <w:proofErr w:type="spellStart"/>
            <w:r w:rsidRPr="00A0550D">
              <w:rPr>
                <w:rFonts w:ascii="Arial" w:hAnsi="Arial" w:cs="Arial"/>
                <w:sz w:val="18"/>
                <w:szCs w:val="18"/>
              </w:rPr>
              <w:t>Bhd</w:t>
            </w:r>
            <w:proofErr w:type="spellEnd"/>
          </w:p>
        </w:tc>
      </w:tr>
      <w:tr w:rsidR="004A5180" w:rsidRPr="00A0550D" w14:paraId="5306DEA5" w14:textId="77777777" w:rsidTr="009834A9">
        <w:tc>
          <w:tcPr>
            <w:tcW w:w="5125" w:type="dxa"/>
          </w:tcPr>
          <w:p w14:paraId="129E03DD"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CIMB Securities </w:t>
            </w:r>
            <w:proofErr w:type="spellStart"/>
            <w:r w:rsidRPr="00A0550D">
              <w:rPr>
                <w:rFonts w:ascii="Arial" w:hAnsi="Arial" w:cs="Arial"/>
                <w:sz w:val="18"/>
                <w:szCs w:val="18"/>
              </w:rPr>
              <w:t>Sdn</w:t>
            </w:r>
            <w:proofErr w:type="spellEnd"/>
            <w:r w:rsidRPr="00A0550D">
              <w:rPr>
                <w:rFonts w:ascii="Arial" w:hAnsi="Arial" w:cs="Arial"/>
                <w:sz w:val="18"/>
                <w:szCs w:val="18"/>
              </w:rPr>
              <w:t xml:space="preserve"> </w:t>
            </w:r>
            <w:proofErr w:type="spellStart"/>
            <w:r w:rsidRPr="00A0550D">
              <w:rPr>
                <w:rFonts w:ascii="Arial" w:hAnsi="Arial" w:cs="Arial"/>
                <w:sz w:val="18"/>
                <w:szCs w:val="18"/>
              </w:rPr>
              <w:t>Bhd</w:t>
            </w:r>
            <w:proofErr w:type="spellEnd"/>
          </w:p>
        </w:tc>
      </w:tr>
      <w:tr w:rsidR="004A5180" w:rsidRPr="00A0550D" w14:paraId="71746DBD" w14:textId="77777777" w:rsidTr="009834A9">
        <w:tc>
          <w:tcPr>
            <w:tcW w:w="5125" w:type="dxa"/>
          </w:tcPr>
          <w:p w14:paraId="499843F8"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CLSA Securities Malaysia </w:t>
            </w:r>
            <w:proofErr w:type="spellStart"/>
            <w:r w:rsidRPr="00A0550D">
              <w:rPr>
                <w:rFonts w:ascii="Arial" w:hAnsi="Arial" w:cs="Arial"/>
                <w:sz w:val="18"/>
                <w:szCs w:val="18"/>
              </w:rPr>
              <w:t>Sdn</w:t>
            </w:r>
            <w:proofErr w:type="spellEnd"/>
            <w:r w:rsidRPr="00A0550D">
              <w:rPr>
                <w:rFonts w:ascii="Arial" w:hAnsi="Arial" w:cs="Arial"/>
                <w:sz w:val="18"/>
                <w:szCs w:val="18"/>
              </w:rPr>
              <w:t xml:space="preserve"> </w:t>
            </w:r>
            <w:proofErr w:type="spellStart"/>
            <w:r w:rsidRPr="00A0550D">
              <w:rPr>
                <w:rFonts w:ascii="Arial" w:hAnsi="Arial" w:cs="Arial"/>
                <w:sz w:val="18"/>
                <w:szCs w:val="18"/>
              </w:rPr>
              <w:t>Bhd</w:t>
            </w:r>
            <w:proofErr w:type="spellEnd"/>
          </w:p>
        </w:tc>
      </w:tr>
      <w:tr w:rsidR="004A5180" w:rsidRPr="00A0550D" w14:paraId="73AD3828" w14:textId="77777777" w:rsidTr="009834A9">
        <w:tc>
          <w:tcPr>
            <w:tcW w:w="5125" w:type="dxa"/>
          </w:tcPr>
          <w:p w14:paraId="1AA2D40A"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Hong Leong Investment Bank </w:t>
            </w:r>
            <w:proofErr w:type="spellStart"/>
            <w:r w:rsidRPr="00A0550D">
              <w:rPr>
                <w:rFonts w:ascii="Arial" w:hAnsi="Arial" w:cs="Arial"/>
                <w:sz w:val="18"/>
                <w:szCs w:val="18"/>
              </w:rPr>
              <w:t>Bhd</w:t>
            </w:r>
            <w:proofErr w:type="spellEnd"/>
          </w:p>
        </w:tc>
      </w:tr>
      <w:tr w:rsidR="004A5180" w:rsidRPr="00A0550D" w14:paraId="3C424854" w14:textId="77777777" w:rsidTr="009834A9">
        <w:tc>
          <w:tcPr>
            <w:tcW w:w="5125" w:type="dxa"/>
          </w:tcPr>
          <w:p w14:paraId="57503D08" w14:textId="77777777" w:rsidR="004A5180" w:rsidRPr="00A0550D" w:rsidRDefault="004A5180" w:rsidP="009834A9">
            <w:pPr>
              <w:autoSpaceDE w:val="0"/>
              <w:autoSpaceDN w:val="0"/>
              <w:adjustRightInd w:val="0"/>
              <w:jc w:val="both"/>
              <w:rPr>
                <w:rFonts w:ascii="Arial" w:hAnsi="Arial" w:cs="Arial"/>
                <w:sz w:val="18"/>
                <w:szCs w:val="18"/>
              </w:rPr>
            </w:pPr>
            <w:proofErr w:type="spellStart"/>
            <w:r w:rsidRPr="00A0550D">
              <w:rPr>
                <w:rFonts w:ascii="Arial" w:hAnsi="Arial" w:cs="Arial"/>
                <w:sz w:val="18"/>
                <w:szCs w:val="18"/>
              </w:rPr>
              <w:t>Kenanga</w:t>
            </w:r>
            <w:proofErr w:type="spellEnd"/>
            <w:r w:rsidRPr="00A0550D">
              <w:rPr>
                <w:rFonts w:ascii="Arial" w:hAnsi="Arial" w:cs="Arial"/>
                <w:sz w:val="18"/>
                <w:szCs w:val="18"/>
              </w:rPr>
              <w:t xml:space="preserve"> Investment Bank </w:t>
            </w:r>
            <w:proofErr w:type="spellStart"/>
            <w:r w:rsidRPr="00A0550D">
              <w:rPr>
                <w:rFonts w:ascii="Arial" w:hAnsi="Arial" w:cs="Arial"/>
                <w:sz w:val="18"/>
                <w:szCs w:val="18"/>
              </w:rPr>
              <w:t>Bhd</w:t>
            </w:r>
            <w:proofErr w:type="spellEnd"/>
          </w:p>
        </w:tc>
      </w:tr>
      <w:tr w:rsidR="004A5180" w:rsidRPr="00A0550D" w14:paraId="303657B9" w14:textId="77777777" w:rsidTr="009834A9">
        <w:tc>
          <w:tcPr>
            <w:tcW w:w="5125" w:type="dxa"/>
          </w:tcPr>
          <w:p w14:paraId="55DD91FC"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Maybank Investment Bank </w:t>
            </w:r>
            <w:proofErr w:type="spellStart"/>
            <w:r w:rsidRPr="00A0550D">
              <w:rPr>
                <w:rFonts w:ascii="Arial" w:hAnsi="Arial" w:cs="Arial"/>
                <w:sz w:val="18"/>
                <w:szCs w:val="18"/>
              </w:rPr>
              <w:t>Bhd</w:t>
            </w:r>
            <w:proofErr w:type="spellEnd"/>
          </w:p>
        </w:tc>
      </w:tr>
      <w:tr w:rsidR="004A5180" w:rsidRPr="00A0550D" w14:paraId="6132AC24" w14:textId="77777777" w:rsidTr="009834A9">
        <w:tc>
          <w:tcPr>
            <w:tcW w:w="5125" w:type="dxa"/>
          </w:tcPr>
          <w:p w14:paraId="2FD0329E"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MBSB Investment Bank </w:t>
            </w:r>
            <w:proofErr w:type="spellStart"/>
            <w:r w:rsidRPr="00A0550D">
              <w:rPr>
                <w:rFonts w:ascii="Arial" w:hAnsi="Arial" w:cs="Arial"/>
                <w:sz w:val="18"/>
                <w:szCs w:val="18"/>
              </w:rPr>
              <w:t>Bhd</w:t>
            </w:r>
            <w:proofErr w:type="spellEnd"/>
            <w:r w:rsidRPr="00A0550D">
              <w:rPr>
                <w:rFonts w:ascii="Arial" w:hAnsi="Arial" w:cs="Arial"/>
                <w:sz w:val="18"/>
                <w:szCs w:val="18"/>
              </w:rPr>
              <w:t xml:space="preserve"> (MIDF)</w:t>
            </w:r>
          </w:p>
        </w:tc>
      </w:tr>
      <w:tr w:rsidR="004A5180" w:rsidRPr="00A0550D" w14:paraId="364A9E34" w14:textId="77777777" w:rsidTr="009834A9">
        <w:tc>
          <w:tcPr>
            <w:tcW w:w="5125" w:type="dxa"/>
          </w:tcPr>
          <w:p w14:paraId="7002CBA0"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New Paradigm Securities </w:t>
            </w:r>
            <w:proofErr w:type="spellStart"/>
            <w:r w:rsidRPr="00A0550D">
              <w:rPr>
                <w:rFonts w:ascii="Arial" w:hAnsi="Arial" w:cs="Arial"/>
                <w:sz w:val="18"/>
                <w:szCs w:val="18"/>
              </w:rPr>
              <w:t>Sdn</w:t>
            </w:r>
            <w:proofErr w:type="spellEnd"/>
            <w:r w:rsidRPr="00A0550D">
              <w:rPr>
                <w:rFonts w:ascii="Arial" w:hAnsi="Arial" w:cs="Arial"/>
                <w:sz w:val="18"/>
                <w:szCs w:val="18"/>
              </w:rPr>
              <w:t xml:space="preserve"> </w:t>
            </w:r>
            <w:proofErr w:type="spellStart"/>
            <w:r w:rsidRPr="00A0550D">
              <w:rPr>
                <w:rFonts w:ascii="Arial" w:hAnsi="Arial" w:cs="Arial"/>
                <w:sz w:val="18"/>
                <w:szCs w:val="18"/>
              </w:rPr>
              <w:t>Bhd</w:t>
            </w:r>
            <w:proofErr w:type="spellEnd"/>
          </w:p>
        </w:tc>
      </w:tr>
      <w:tr w:rsidR="004A5180" w:rsidRPr="00A0550D" w14:paraId="1B703748" w14:textId="77777777" w:rsidTr="009834A9">
        <w:tc>
          <w:tcPr>
            <w:tcW w:w="5125" w:type="dxa"/>
          </w:tcPr>
          <w:p w14:paraId="67A40C14"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Nomura Securities Malaysia </w:t>
            </w:r>
            <w:proofErr w:type="spellStart"/>
            <w:r w:rsidRPr="00A0550D">
              <w:rPr>
                <w:rFonts w:ascii="Arial" w:hAnsi="Arial" w:cs="Arial"/>
                <w:sz w:val="18"/>
                <w:szCs w:val="18"/>
              </w:rPr>
              <w:t>Sdn</w:t>
            </w:r>
            <w:proofErr w:type="spellEnd"/>
            <w:r w:rsidRPr="00A0550D">
              <w:rPr>
                <w:rFonts w:ascii="Arial" w:hAnsi="Arial" w:cs="Arial"/>
                <w:sz w:val="18"/>
                <w:szCs w:val="18"/>
              </w:rPr>
              <w:t xml:space="preserve"> </w:t>
            </w:r>
            <w:proofErr w:type="spellStart"/>
            <w:r w:rsidRPr="00A0550D">
              <w:rPr>
                <w:rFonts w:ascii="Arial" w:hAnsi="Arial" w:cs="Arial"/>
                <w:sz w:val="18"/>
                <w:szCs w:val="18"/>
              </w:rPr>
              <w:t>Bhd</w:t>
            </w:r>
            <w:proofErr w:type="spellEnd"/>
          </w:p>
        </w:tc>
      </w:tr>
      <w:tr w:rsidR="004A5180" w:rsidRPr="00A0550D" w14:paraId="5C422CE7" w14:textId="77777777" w:rsidTr="009834A9">
        <w:tc>
          <w:tcPr>
            <w:tcW w:w="5125" w:type="dxa"/>
          </w:tcPr>
          <w:p w14:paraId="3B057ABB"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Phillip Capital </w:t>
            </w:r>
            <w:proofErr w:type="spellStart"/>
            <w:r w:rsidRPr="00A0550D">
              <w:rPr>
                <w:rFonts w:ascii="Arial" w:hAnsi="Arial" w:cs="Arial"/>
                <w:sz w:val="18"/>
                <w:szCs w:val="18"/>
              </w:rPr>
              <w:t>Sdn</w:t>
            </w:r>
            <w:proofErr w:type="spellEnd"/>
            <w:r w:rsidRPr="00A0550D">
              <w:rPr>
                <w:rFonts w:ascii="Arial" w:hAnsi="Arial" w:cs="Arial"/>
                <w:sz w:val="18"/>
                <w:szCs w:val="18"/>
              </w:rPr>
              <w:t xml:space="preserve"> </w:t>
            </w:r>
            <w:proofErr w:type="spellStart"/>
            <w:r w:rsidRPr="00A0550D">
              <w:rPr>
                <w:rFonts w:ascii="Arial" w:hAnsi="Arial" w:cs="Arial"/>
                <w:sz w:val="18"/>
                <w:szCs w:val="18"/>
              </w:rPr>
              <w:t>Bhd</w:t>
            </w:r>
            <w:proofErr w:type="spellEnd"/>
          </w:p>
        </w:tc>
      </w:tr>
      <w:tr w:rsidR="004A5180" w:rsidRPr="00A0550D" w14:paraId="2565EC72" w14:textId="77777777" w:rsidTr="009834A9">
        <w:tc>
          <w:tcPr>
            <w:tcW w:w="5125" w:type="dxa"/>
          </w:tcPr>
          <w:p w14:paraId="71C17301"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RHB Investment Bank </w:t>
            </w:r>
            <w:proofErr w:type="spellStart"/>
            <w:r w:rsidRPr="00A0550D">
              <w:rPr>
                <w:rFonts w:ascii="Arial" w:hAnsi="Arial" w:cs="Arial"/>
                <w:sz w:val="18"/>
                <w:szCs w:val="18"/>
              </w:rPr>
              <w:t>Bhd</w:t>
            </w:r>
            <w:proofErr w:type="spellEnd"/>
          </w:p>
        </w:tc>
      </w:tr>
      <w:tr w:rsidR="004A5180" w:rsidRPr="00A0550D" w14:paraId="114EEC5D" w14:textId="77777777" w:rsidTr="009834A9">
        <w:tc>
          <w:tcPr>
            <w:tcW w:w="5125" w:type="dxa"/>
          </w:tcPr>
          <w:p w14:paraId="522C8749"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TA Securities Holdings </w:t>
            </w:r>
            <w:proofErr w:type="spellStart"/>
            <w:r w:rsidRPr="00A0550D">
              <w:rPr>
                <w:rFonts w:ascii="Arial" w:hAnsi="Arial" w:cs="Arial"/>
                <w:sz w:val="18"/>
                <w:szCs w:val="18"/>
              </w:rPr>
              <w:t>Bhd</w:t>
            </w:r>
            <w:proofErr w:type="spellEnd"/>
          </w:p>
        </w:tc>
      </w:tr>
      <w:tr w:rsidR="004A5180" w:rsidRPr="00A0550D" w14:paraId="5A53FA8A" w14:textId="77777777" w:rsidTr="009834A9">
        <w:tc>
          <w:tcPr>
            <w:tcW w:w="5125" w:type="dxa"/>
          </w:tcPr>
          <w:p w14:paraId="1BCE7465"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 xml:space="preserve">UOB Kay </w:t>
            </w:r>
            <w:proofErr w:type="spellStart"/>
            <w:r w:rsidRPr="00A0550D">
              <w:rPr>
                <w:rFonts w:ascii="Arial" w:hAnsi="Arial" w:cs="Arial"/>
                <w:sz w:val="18"/>
                <w:szCs w:val="18"/>
              </w:rPr>
              <w:t>Hian</w:t>
            </w:r>
            <w:proofErr w:type="spellEnd"/>
            <w:r w:rsidRPr="00A0550D">
              <w:rPr>
                <w:rFonts w:ascii="Arial" w:hAnsi="Arial" w:cs="Arial"/>
                <w:sz w:val="18"/>
                <w:szCs w:val="18"/>
              </w:rPr>
              <w:t xml:space="preserve"> Securities (M) </w:t>
            </w:r>
            <w:proofErr w:type="spellStart"/>
            <w:r w:rsidRPr="00A0550D">
              <w:rPr>
                <w:rFonts w:ascii="Arial" w:hAnsi="Arial" w:cs="Arial"/>
                <w:sz w:val="18"/>
                <w:szCs w:val="18"/>
              </w:rPr>
              <w:t>Sdn</w:t>
            </w:r>
            <w:proofErr w:type="spellEnd"/>
            <w:r w:rsidRPr="00A0550D">
              <w:rPr>
                <w:rFonts w:ascii="Arial" w:hAnsi="Arial" w:cs="Arial"/>
                <w:sz w:val="18"/>
                <w:szCs w:val="18"/>
              </w:rPr>
              <w:t xml:space="preserve"> </w:t>
            </w:r>
            <w:proofErr w:type="spellStart"/>
            <w:r w:rsidRPr="00A0550D">
              <w:rPr>
                <w:rFonts w:ascii="Arial" w:hAnsi="Arial" w:cs="Arial"/>
                <w:sz w:val="18"/>
                <w:szCs w:val="18"/>
              </w:rPr>
              <w:t>Bhd</w:t>
            </w:r>
            <w:proofErr w:type="spellEnd"/>
          </w:p>
        </w:tc>
      </w:tr>
      <w:tr w:rsidR="004A5180" w:rsidRPr="00A0550D" w14:paraId="65EAC916" w14:textId="77777777" w:rsidTr="009834A9">
        <w:tc>
          <w:tcPr>
            <w:tcW w:w="5125" w:type="dxa"/>
          </w:tcPr>
          <w:p w14:paraId="62BF74A5"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CCB INTERNATIONAL SINGAPORE PTE LTD</w:t>
            </w:r>
          </w:p>
        </w:tc>
      </w:tr>
      <w:tr w:rsidR="004A5180" w:rsidRPr="00A0550D" w14:paraId="2C8F0DA6" w14:textId="77777777" w:rsidTr="009834A9">
        <w:tc>
          <w:tcPr>
            <w:tcW w:w="5125" w:type="dxa"/>
          </w:tcPr>
          <w:p w14:paraId="7B314773"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CGS INTERNATIONAL SECURITIES SINGAPORE LTD</w:t>
            </w:r>
          </w:p>
        </w:tc>
      </w:tr>
      <w:tr w:rsidR="004A5180" w:rsidRPr="00A0550D" w14:paraId="5D082737" w14:textId="77777777" w:rsidTr="009834A9">
        <w:tc>
          <w:tcPr>
            <w:tcW w:w="5125" w:type="dxa"/>
          </w:tcPr>
          <w:p w14:paraId="070B7159"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CLSA SECURITIES SINGAPORE LTD</w:t>
            </w:r>
          </w:p>
        </w:tc>
      </w:tr>
      <w:tr w:rsidR="004A5180" w:rsidRPr="00A0550D" w14:paraId="3FB2DE75" w14:textId="77777777" w:rsidTr="009834A9">
        <w:tc>
          <w:tcPr>
            <w:tcW w:w="5125" w:type="dxa"/>
          </w:tcPr>
          <w:p w14:paraId="1CD5588D"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DBS VICKERS SECURITIES SINGAPORE PTE LTD</w:t>
            </w:r>
          </w:p>
        </w:tc>
      </w:tr>
      <w:tr w:rsidR="004A5180" w:rsidRPr="00A0550D" w14:paraId="2A147481" w14:textId="77777777" w:rsidTr="009834A9">
        <w:tc>
          <w:tcPr>
            <w:tcW w:w="5125" w:type="dxa"/>
          </w:tcPr>
          <w:p w14:paraId="4C0D020C"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PT CGS INTERNATIONAL SEKURITAS INDONESIA</w:t>
            </w:r>
          </w:p>
        </w:tc>
      </w:tr>
      <w:tr w:rsidR="004A5180" w:rsidRPr="00A0550D" w14:paraId="6C70D449" w14:textId="77777777" w:rsidTr="009834A9">
        <w:tc>
          <w:tcPr>
            <w:tcW w:w="5125" w:type="dxa"/>
          </w:tcPr>
          <w:p w14:paraId="6DC65326"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PT CLSA SEKURITAS INDONESIA</w:t>
            </w:r>
          </w:p>
        </w:tc>
      </w:tr>
      <w:tr w:rsidR="004A5180" w:rsidRPr="00A0550D" w14:paraId="19CF5A69" w14:textId="77777777" w:rsidTr="009834A9">
        <w:tc>
          <w:tcPr>
            <w:tcW w:w="5125" w:type="dxa"/>
          </w:tcPr>
          <w:p w14:paraId="3F8CDB8C"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PT BNI SEKURITAS</w:t>
            </w:r>
          </w:p>
        </w:tc>
      </w:tr>
      <w:tr w:rsidR="004A5180" w:rsidRPr="00A0550D" w14:paraId="2DB6B0FA" w14:textId="77777777" w:rsidTr="009834A9">
        <w:tc>
          <w:tcPr>
            <w:tcW w:w="5125" w:type="dxa"/>
          </w:tcPr>
          <w:p w14:paraId="42CC2BBC"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PT BRI DANAREKSA SEKURITAS</w:t>
            </w:r>
          </w:p>
        </w:tc>
      </w:tr>
      <w:tr w:rsidR="004A5180" w:rsidRPr="00A0550D" w14:paraId="05B96715" w14:textId="77777777" w:rsidTr="009834A9">
        <w:tc>
          <w:tcPr>
            <w:tcW w:w="5125" w:type="dxa"/>
          </w:tcPr>
          <w:p w14:paraId="54B02CF4"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PT MANDIRI SEKURITAS</w:t>
            </w:r>
          </w:p>
        </w:tc>
      </w:tr>
      <w:tr w:rsidR="004A5180" w:rsidRPr="00A0550D" w14:paraId="04072194" w14:textId="77777777" w:rsidTr="009834A9">
        <w:tc>
          <w:tcPr>
            <w:tcW w:w="5125" w:type="dxa"/>
          </w:tcPr>
          <w:p w14:paraId="34B44D52"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ACB Securities CTD</w:t>
            </w:r>
          </w:p>
        </w:tc>
      </w:tr>
      <w:tr w:rsidR="004A5180" w:rsidRPr="00A0550D" w14:paraId="2ED33112" w14:textId="77777777" w:rsidTr="009834A9">
        <w:tc>
          <w:tcPr>
            <w:tcW w:w="5125" w:type="dxa"/>
          </w:tcPr>
          <w:p w14:paraId="209FD5A0"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HO CHI MINH CITY SECURITIES CORP. (HSC)</w:t>
            </w:r>
          </w:p>
        </w:tc>
      </w:tr>
      <w:tr w:rsidR="004A5180" w:rsidRPr="00A0550D" w14:paraId="78BEFB7D" w14:textId="77777777" w:rsidTr="009834A9">
        <w:tc>
          <w:tcPr>
            <w:tcW w:w="5125" w:type="dxa"/>
          </w:tcPr>
          <w:p w14:paraId="770E4020"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VIET CAPITAL SECURITIES JSC LTD</w:t>
            </w:r>
          </w:p>
        </w:tc>
      </w:tr>
      <w:tr w:rsidR="004A5180" w:rsidRPr="00A0550D" w14:paraId="3EC90E1C" w14:textId="77777777" w:rsidTr="009834A9">
        <w:tc>
          <w:tcPr>
            <w:tcW w:w="5125" w:type="dxa"/>
          </w:tcPr>
          <w:p w14:paraId="51C2F1F4"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CLSA Thailand</w:t>
            </w:r>
          </w:p>
        </w:tc>
      </w:tr>
      <w:tr w:rsidR="004A5180" w:rsidRPr="00A0550D" w14:paraId="232A966E" w14:textId="77777777" w:rsidTr="009834A9">
        <w:tc>
          <w:tcPr>
            <w:tcW w:w="5125" w:type="dxa"/>
          </w:tcPr>
          <w:p w14:paraId="422F144D"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DBS VICKERS SECURITIES THAILAND CO. LTD</w:t>
            </w:r>
          </w:p>
        </w:tc>
      </w:tr>
      <w:tr w:rsidR="004A5180" w:rsidRPr="00A0550D" w14:paraId="4496E88D" w14:textId="77777777" w:rsidTr="009834A9">
        <w:tc>
          <w:tcPr>
            <w:tcW w:w="5125" w:type="dxa"/>
          </w:tcPr>
          <w:p w14:paraId="33D9C63D"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CLSA SECURITIES PHILIPPINES INC.</w:t>
            </w:r>
          </w:p>
        </w:tc>
      </w:tr>
      <w:tr w:rsidR="004A5180" w:rsidRPr="00A0550D" w14:paraId="5FE8D1E7" w14:textId="77777777" w:rsidTr="009834A9">
        <w:tc>
          <w:tcPr>
            <w:tcW w:w="5125" w:type="dxa"/>
          </w:tcPr>
          <w:p w14:paraId="6C64539E"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ASIASEC EQUITIES INC.</w:t>
            </w:r>
          </w:p>
        </w:tc>
      </w:tr>
      <w:tr w:rsidR="004A5180" w:rsidRPr="00A0550D" w14:paraId="279B2799" w14:textId="77777777" w:rsidTr="009834A9">
        <w:tc>
          <w:tcPr>
            <w:tcW w:w="5125" w:type="dxa"/>
          </w:tcPr>
          <w:p w14:paraId="01C96E5A"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BOC INTERNATIONAL HOLDINGS LTD</w:t>
            </w:r>
          </w:p>
        </w:tc>
      </w:tr>
      <w:tr w:rsidR="004A5180" w:rsidRPr="00A0550D" w14:paraId="7FE1F458" w14:textId="77777777" w:rsidTr="009834A9">
        <w:tc>
          <w:tcPr>
            <w:tcW w:w="5125" w:type="dxa"/>
          </w:tcPr>
          <w:p w14:paraId="064AD535"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CCB INTERNATIONAL SINGAPORE PTE LTD</w:t>
            </w:r>
          </w:p>
        </w:tc>
      </w:tr>
      <w:tr w:rsidR="004A5180" w:rsidRPr="00A0550D" w14:paraId="1A3B2537" w14:textId="77777777" w:rsidTr="009834A9">
        <w:tc>
          <w:tcPr>
            <w:tcW w:w="5125" w:type="dxa"/>
          </w:tcPr>
          <w:p w14:paraId="1A67C69D"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CGS INTERNATIONAL SECURITIES HK LTD</w:t>
            </w:r>
          </w:p>
        </w:tc>
      </w:tr>
      <w:tr w:rsidR="004A5180" w:rsidRPr="00A0550D" w14:paraId="6FD2DF8A" w14:textId="77777777" w:rsidTr="009834A9">
        <w:tc>
          <w:tcPr>
            <w:tcW w:w="5125" w:type="dxa"/>
          </w:tcPr>
          <w:p w14:paraId="6A0F80F3"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DBS BANK HONG KONG LTD</w:t>
            </w:r>
          </w:p>
        </w:tc>
      </w:tr>
      <w:tr w:rsidR="004A5180" w:rsidRPr="00A0550D" w14:paraId="4E281269" w14:textId="77777777" w:rsidTr="009834A9">
        <w:tc>
          <w:tcPr>
            <w:tcW w:w="5125" w:type="dxa"/>
          </w:tcPr>
          <w:p w14:paraId="07D6953E"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CGS INTERNATIONAL SECURITIES SINGAPORE LTD</w:t>
            </w:r>
          </w:p>
        </w:tc>
      </w:tr>
      <w:tr w:rsidR="004A5180" w:rsidRPr="00A0550D" w14:paraId="1502663F" w14:textId="77777777" w:rsidTr="009834A9">
        <w:tc>
          <w:tcPr>
            <w:tcW w:w="5125" w:type="dxa"/>
          </w:tcPr>
          <w:p w14:paraId="72572A65"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CLSA SECURITIES (Australia)</w:t>
            </w:r>
          </w:p>
        </w:tc>
      </w:tr>
      <w:tr w:rsidR="004A5180" w:rsidRPr="00A0550D" w14:paraId="1A042794" w14:textId="77777777" w:rsidTr="009834A9">
        <w:tc>
          <w:tcPr>
            <w:tcW w:w="5125" w:type="dxa"/>
          </w:tcPr>
          <w:p w14:paraId="1819349D"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CLSA SECURITIES KOREA LTD</w:t>
            </w:r>
          </w:p>
        </w:tc>
      </w:tr>
      <w:tr w:rsidR="004A5180" w:rsidRPr="00A0550D" w14:paraId="3F9C4580" w14:textId="77777777" w:rsidTr="009834A9">
        <w:tc>
          <w:tcPr>
            <w:tcW w:w="5125" w:type="dxa"/>
          </w:tcPr>
          <w:p w14:paraId="2C6F299D" w14:textId="77777777" w:rsidR="004A5180" w:rsidRPr="00A0550D" w:rsidRDefault="004A5180" w:rsidP="009834A9">
            <w:pPr>
              <w:autoSpaceDE w:val="0"/>
              <w:autoSpaceDN w:val="0"/>
              <w:adjustRightInd w:val="0"/>
              <w:jc w:val="both"/>
              <w:rPr>
                <w:rFonts w:ascii="Arial" w:hAnsi="Arial" w:cs="Arial"/>
                <w:sz w:val="18"/>
                <w:szCs w:val="18"/>
              </w:rPr>
            </w:pPr>
            <w:r w:rsidRPr="00A0550D">
              <w:rPr>
                <w:rFonts w:ascii="Arial" w:hAnsi="Arial" w:cs="Arial"/>
                <w:sz w:val="18"/>
                <w:szCs w:val="18"/>
              </w:rPr>
              <w:t>SAMSUNG SECURITIES CO. LTD</w:t>
            </w:r>
          </w:p>
        </w:tc>
      </w:tr>
    </w:tbl>
    <w:p w14:paraId="692314B1"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01DDB84D"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31F407F6"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79E245BA" w14:textId="77777777" w:rsidR="004A5180" w:rsidRDefault="004A5180" w:rsidP="004A5180">
      <w:pPr>
        <w:autoSpaceDE w:val="0"/>
        <w:autoSpaceDN w:val="0"/>
        <w:adjustRightInd w:val="0"/>
        <w:spacing w:line="240" w:lineRule="auto"/>
        <w:jc w:val="both"/>
        <w:rPr>
          <w:rFonts w:ascii="Arial" w:hAnsi="Arial" w:cs="Arial"/>
          <w:b/>
          <w:bCs/>
          <w:sz w:val="18"/>
          <w:szCs w:val="18"/>
        </w:rPr>
      </w:pPr>
    </w:p>
    <w:p w14:paraId="7899EDD9" w14:textId="77777777" w:rsidR="004A5180" w:rsidRPr="008E678C" w:rsidRDefault="004A5180" w:rsidP="004A5180">
      <w:pPr>
        <w:autoSpaceDE w:val="0"/>
        <w:autoSpaceDN w:val="0"/>
        <w:adjustRightInd w:val="0"/>
        <w:spacing w:line="240" w:lineRule="auto"/>
        <w:jc w:val="both"/>
        <w:rPr>
          <w:rFonts w:ascii="Arial" w:eastAsia="SimSun" w:hAnsi="Arial" w:cs="Arial"/>
          <w:b/>
          <w:kern w:val="3"/>
          <w:sz w:val="18"/>
          <w:szCs w:val="18"/>
          <w:lang w:eastAsia="en-MY" w:bidi="hi-IN"/>
        </w:rPr>
      </w:pPr>
      <w:r w:rsidRPr="008E678C">
        <w:rPr>
          <w:rFonts w:ascii="Arial" w:hAnsi="Arial" w:cs="Arial"/>
          <w:b/>
          <w:bCs/>
          <w:sz w:val="18"/>
          <w:szCs w:val="18"/>
        </w:rPr>
        <w:t>Disclaimer:</w:t>
      </w:r>
    </w:p>
    <w:p w14:paraId="444692A5" w14:textId="77777777" w:rsidR="004A5180" w:rsidRPr="008E678C" w:rsidRDefault="004A5180" w:rsidP="004A5180">
      <w:pPr>
        <w:autoSpaceDE w:val="0"/>
        <w:autoSpaceDN w:val="0"/>
        <w:adjustRightInd w:val="0"/>
        <w:spacing w:line="240" w:lineRule="auto"/>
        <w:jc w:val="both"/>
        <w:rPr>
          <w:rFonts w:ascii="Arial" w:hAnsi="Arial" w:cs="Arial"/>
          <w:sz w:val="18"/>
          <w:szCs w:val="18"/>
        </w:rPr>
      </w:pPr>
      <w:r w:rsidRPr="008E678C">
        <w:rPr>
          <w:rFonts w:ascii="Arial" w:hAnsi="Arial" w:cs="Arial"/>
          <w:sz w:val="18"/>
          <w:szCs w:val="18"/>
        </w:rPr>
        <w:t>The above information has not been reviewed by the SC and is subject to the relevant warning, disclaimer, qualification or terms and conditions stated herein.</w:t>
      </w:r>
      <w:r w:rsidRPr="001D16FE">
        <w:t xml:space="preserve"> </w:t>
      </w:r>
      <w:r w:rsidRPr="001D16FE">
        <w:rPr>
          <w:rFonts w:ascii="Arial" w:hAnsi="Arial" w:cs="Arial"/>
          <w:sz w:val="18"/>
          <w:szCs w:val="18"/>
        </w:rPr>
        <w:t>The author and analyst does not hold any direct or indirect interest in the securities mentioned in this report at the time of publication. No conflicts of interest are known to exist.</w:t>
      </w:r>
      <w:r w:rsidRPr="008E678C">
        <w:rPr>
          <w:rFonts w:ascii="Arial" w:hAnsi="Arial" w:cs="Arial"/>
          <w:sz w:val="18"/>
          <w:szCs w:val="18"/>
        </w:rPr>
        <w:t xml:space="preserve"> The information is intended for institutional and accredited investors and the recipient should be aware of the securities laws and regulations of your jurisdiction in your review of the material. </w:t>
      </w:r>
      <w:r w:rsidRPr="00E748B2">
        <w:rPr>
          <w:rFonts w:ascii="Arial" w:hAnsi="Arial" w:cs="Arial"/>
          <w:sz w:val="18"/>
          <w:szCs w:val="18"/>
        </w:rPr>
        <w:t>Securities mentioned are for illustrative and informational purposes only and do not constitute recommendations</w:t>
      </w:r>
      <w:r>
        <w:rPr>
          <w:rFonts w:ascii="Arial" w:hAnsi="Arial" w:cs="Arial"/>
          <w:sz w:val="18"/>
          <w:szCs w:val="18"/>
        </w:rPr>
        <w:t xml:space="preserve">. </w:t>
      </w:r>
      <w:r w:rsidRPr="008E678C">
        <w:rPr>
          <w:rFonts w:ascii="Arial" w:hAnsi="Arial" w:cs="Arial"/>
          <w:sz w:val="18"/>
          <w:szCs w:val="18"/>
        </w:rPr>
        <w:t xml:space="preserve">The material should not be construed as formal investment, legal, tax or accounting advice and such formal advice should be acquired by any individual investor prior to making an investment. The information contained herein does not have any regard to the specific investment objectives, financial situation, or </w:t>
      </w:r>
      <w:proofErr w:type="gramStart"/>
      <w:r w:rsidRPr="008E678C">
        <w:rPr>
          <w:rFonts w:ascii="Arial" w:hAnsi="Arial" w:cs="Arial"/>
          <w:sz w:val="18"/>
          <w:szCs w:val="18"/>
        </w:rPr>
        <w:t>particular needs</w:t>
      </w:r>
      <w:proofErr w:type="gramEnd"/>
      <w:r w:rsidRPr="008E678C">
        <w:rPr>
          <w:rFonts w:ascii="Arial" w:hAnsi="Arial" w:cs="Arial"/>
          <w:sz w:val="18"/>
          <w:szCs w:val="18"/>
        </w:rPr>
        <w:t xml:space="preserve"> of any person. We assume no responsibility or liability for any errors or omissions in the content of this article. </w:t>
      </w:r>
    </w:p>
    <w:p w14:paraId="6AF0814C" w14:textId="0A04ECC9" w:rsidR="00185B6B" w:rsidRPr="00185B6B" w:rsidRDefault="00185B6B" w:rsidP="00185B6B">
      <w:pPr>
        <w:jc w:val="both"/>
        <w:rPr>
          <w:rFonts w:ascii="Arial" w:hAnsi="Arial" w:cs="Arial"/>
          <w:sz w:val="18"/>
          <w:szCs w:val="18"/>
          <w:lang w:val="en-US"/>
        </w:rPr>
      </w:pPr>
    </w:p>
    <w:sectPr w:rsidR="00185B6B" w:rsidRPr="00185B6B" w:rsidSect="007D0691">
      <w:headerReference w:type="even" r:id="rId10"/>
      <w:headerReference w:type="default" r:id="rId11"/>
      <w:footerReference w:type="even" r:id="rId12"/>
      <w:footerReference w:type="default" r:id="rId13"/>
      <w:headerReference w:type="first" r:id="rId14"/>
      <w:footerReference w:type="first" r:id="rId15"/>
      <w:pgSz w:w="11906" w:h="16838"/>
      <w:pgMar w:top="-2019" w:right="707" w:bottom="219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72214" w14:textId="77777777" w:rsidR="00AF0F4A" w:rsidRDefault="00AF0F4A" w:rsidP="007D0691">
      <w:pPr>
        <w:spacing w:after="0" w:line="240" w:lineRule="auto"/>
      </w:pPr>
      <w:r>
        <w:separator/>
      </w:r>
    </w:p>
  </w:endnote>
  <w:endnote w:type="continuationSeparator" w:id="0">
    <w:p w14:paraId="4F650A3E" w14:textId="77777777" w:rsidR="00AF0F4A" w:rsidRDefault="00AF0F4A" w:rsidP="007D0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D318" w14:textId="768CD593" w:rsidR="007D0691" w:rsidRDefault="00054124">
    <w:pPr>
      <w:pStyle w:val="Footer"/>
    </w:pPr>
    <w:r>
      <w:rPr>
        <w:noProof/>
      </w:rPr>
      <mc:AlternateContent>
        <mc:Choice Requires="wps">
          <w:drawing>
            <wp:anchor distT="0" distB="0" distL="0" distR="0" simplePos="0" relativeHeight="251666432" behindDoc="0" locked="0" layoutInCell="1" allowOverlap="1" wp14:anchorId="13EA6097" wp14:editId="7AFB73DD">
              <wp:simplePos x="635" y="635"/>
              <wp:positionH relativeFrom="page">
                <wp:align>left</wp:align>
              </wp:positionH>
              <wp:positionV relativeFrom="page">
                <wp:align>bottom</wp:align>
              </wp:positionV>
              <wp:extent cx="3197860" cy="405765"/>
              <wp:effectExtent l="0" t="0" r="2540" b="0"/>
              <wp:wrapNone/>
              <wp:docPr id="1480195227" name="Text Box 8" descr="Confidential [  ], Internal/Private [   ], Public [ X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97860" cy="405765"/>
                      </a:xfrm>
                      <a:prstGeom prst="rect">
                        <a:avLst/>
                      </a:prstGeom>
                      <a:noFill/>
                      <a:ln>
                        <a:noFill/>
                      </a:ln>
                    </wps:spPr>
                    <wps:txbx>
                      <w:txbxContent>
                        <w:p w14:paraId="0351DB47" w14:textId="7655D8EE" w:rsidR="00054124" w:rsidRPr="00054124" w:rsidRDefault="00054124" w:rsidP="00054124">
                          <w:pPr>
                            <w:spacing w:after="0"/>
                            <w:rPr>
                              <w:rFonts w:ascii="Calibri" w:eastAsia="Calibri" w:hAnsi="Calibri" w:cs="Calibri"/>
                              <w:noProof/>
                              <w:color w:val="000000"/>
                            </w:rPr>
                          </w:pPr>
                          <w:r w:rsidRPr="00054124">
                            <w:rPr>
                              <w:rFonts w:ascii="Calibri" w:eastAsia="Calibri" w:hAnsi="Calibri" w:cs="Calibri"/>
                              <w:noProof/>
                              <w:color w:val="000000"/>
                            </w:rPr>
                            <w:t>Confidential [  ], Internal/Private [   ], Public [ X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3EA6097" id="_x0000_t202" coordsize="21600,21600" o:spt="202" path="m,l,21600r21600,l21600,xe">
              <v:stroke joinstyle="miter"/>
              <v:path gradientshapeok="t" o:connecttype="rect"/>
            </v:shapetype>
            <v:shape id="Text Box 8" o:spid="_x0000_s1029" type="#_x0000_t202" alt="Confidential [  ], Internal/Private [   ], Public [ X ]" style="position:absolute;margin-left:0;margin-top:0;width:251.8pt;height:31.9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" filled="f" stroked="f">
              <v:textbox style="mso-fit-shape-to-text:t" inset="20pt,0,0,15pt">
                <w:txbxContent>
                  <w:p w14:paraId="0351DB47" w14:textId="7655D8EE" w:rsidR="00054124" w:rsidRPr="00054124" w:rsidRDefault="00054124" w:rsidP="00054124">
                    <w:pPr>
                      <w:spacing w:after="0"/>
                      <w:rPr>
                        <w:rFonts w:ascii="Calibri" w:eastAsia="Calibri" w:hAnsi="Calibri" w:cs="Calibri"/>
                        <w:noProof/>
                        <w:color w:val="000000"/>
                      </w:rPr>
                    </w:pPr>
                    <w:r w:rsidRPr="00054124">
                      <w:rPr>
                        <w:rFonts w:ascii="Calibri" w:eastAsia="Calibri" w:hAnsi="Calibri" w:cs="Calibri"/>
                        <w:noProof/>
                        <w:color w:val="000000"/>
                      </w:rPr>
                      <w:t>Confidential [  ], Internal/Private [   ], Public [ X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6F7F2" w14:textId="77777777" w:rsidR="00C8750A" w:rsidRDefault="00C875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9DA24" w14:textId="3FBFEF01" w:rsidR="007D0691" w:rsidRDefault="00054124">
    <w:pPr>
      <w:pStyle w:val="Footer"/>
    </w:pPr>
    <w:r>
      <w:rPr>
        <w:noProof/>
      </w:rPr>
      <mc:AlternateContent>
        <mc:Choice Requires="wps">
          <w:drawing>
            <wp:anchor distT="0" distB="0" distL="0" distR="0" simplePos="0" relativeHeight="251665408" behindDoc="0" locked="0" layoutInCell="1" allowOverlap="1" wp14:anchorId="4140C1E5" wp14:editId="3B12D33F">
              <wp:simplePos x="635" y="635"/>
              <wp:positionH relativeFrom="page">
                <wp:align>left</wp:align>
              </wp:positionH>
              <wp:positionV relativeFrom="page">
                <wp:align>bottom</wp:align>
              </wp:positionV>
              <wp:extent cx="3197860" cy="405765"/>
              <wp:effectExtent l="0" t="0" r="2540" b="0"/>
              <wp:wrapNone/>
              <wp:docPr id="1997599307" name="Text Box 7" descr="Confidential [  ], Internal/Private [   ], Public [ X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97860" cy="405765"/>
                      </a:xfrm>
                      <a:prstGeom prst="rect">
                        <a:avLst/>
                      </a:prstGeom>
                      <a:noFill/>
                      <a:ln>
                        <a:noFill/>
                      </a:ln>
                    </wps:spPr>
                    <wps:txbx>
                      <w:txbxContent>
                        <w:p w14:paraId="03EA37F6" w14:textId="4B719CC7" w:rsidR="00054124" w:rsidRPr="00054124" w:rsidRDefault="00054124" w:rsidP="00054124">
                          <w:pPr>
                            <w:spacing w:after="0"/>
                            <w:rPr>
                              <w:rFonts w:ascii="Calibri" w:eastAsia="Calibri" w:hAnsi="Calibri" w:cs="Calibri"/>
                              <w:noProof/>
                              <w:color w:val="000000"/>
                            </w:rPr>
                          </w:pPr>
                          <w:r w:rsidRPr="00054124">
                            <w:rPr>
                              <w:rFonts w:ascii="Calibri" w:eastAsia="Calibri" w:hAnsi="Calibri" w:cs="Calibri"/>
                              <w:noProof/>
                              <w:color w:val="000000"/>
                            </w:rPr>
                            <w:t>Confidential [  ], Internal/Private [   ], Public [ X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40C1E5" id="_x0000_t202" coordsize="21600,21600" o:spt="202" path="m,l,21600r21600,l21600,xe">
              <v:stroke joinstyle="miter"/>
              <v:path gradientshapeok="t" o:connecttype="rect"/>
            </v:shapetype>
            <v:shape id="Text Box 7" o:spid="_x0000_s1031" type="#_x0000_t202" alt="Confidential [  ], Internal/Private [   ], Public [ X ]" style="position:absolute;margin-left:0;margin-top:0;width:251.8pt;height:31.95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" filled="f" stroked="f">
              <v:textbox style="mso-fit-shape-to-text:t" inset="20pt,0,0,15pt">
                <w:txbxContent>
                  <w:p w14:paraId="03EA37F6" w14:textId="4B719CC7" w:rsidR="00054124" w:rsidRPr="00054124" w:rsidRDefault="00054124" w:rsidP="00054124">
                    <w:pPr>
                      <w:spacing w:after="0"/>
                      <w:rPr>
                        <w:rFonts w:ascii="Calibri" w:eastAsia="Calibri" w:hAnsi="Calibri" w:cs="Calibri"/>
                        <w:noProof/>
                        <w:color w:val="000000"/>
                      </w:rPr>
                    </w:pPr>
                    <w:r w:rsidRPr="00054124">
                      <w:rPr>
                        <w:rFonts w:ascii="Calibri" w:eastAsia="Calibri" w:hAnsi="Calibri" w:cs="Calibri"/>
                        <w:noProof/>
                        <w:color w:val="000000"/>
                      </w:rPr>
                      <w:t>Confidential [  ], Internal/Private [   ], Public [ X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8F519" w14:textId="77777777" w:rsidR="00AF0F4A" w:rsidRDefault="00AF0F4A" w:rsidP="007D0691">
      <w:pPr>
        <w:spacing w:after="0" w:line="240" w:lineRule="auto"/>
      </w:pPr>
      <w:r>
        <w:separator/>
      </w:r>
    </w:p>
  </w:footnote>
  <w:footnote w:type="continuationSeparator" w:id="0">
    <w:p w14:paraId="1765C14E" w14:textId="77777777" w:rsidR="00AF0F4A" w:rsidRDefault="00AF0F4A" w:rsidP="007D0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D6AC" w14:textId="0A861B90" w:rsidR="007D0691" w:rsidRDefault="00054124">
    <w:pPr>
      <w:pStyle w:val="Header"/>
    </w:pPr>
    <w:r>
      <w:rPr>
        <w:noProof/>
      </w:rPr>
      <mc:AlternateContent>
        <mc:Choice Requires="wps">
          <w:drawing>
            <wp:anchor distT="0" distB="0" distL="114300" distR="114300" simplePos="0" relativeHeight="251669504" behindDoc="1" locked="0" layoutInCell="1" allowOverlap="1" wp14:anchorId="55DC1B82" wp14:editId="01C616CE">
              <wp:simplePos x="635" y="635"/>
              <wp:positionH relativeFrom="margin">
                <wp:align>center</wp:align>
              </wp:positionH>
              <wp:positionV relativeFrom="margin">
                <wp:align>center</wp:align>
              </wp:positionV>
              <wp:extent cx="925830" cy="179705"/>
              <wp:effectExtent l="0" t="0" r="1270" b="10795"/>
              <wp:wrapNone/>
              <wp:docPr id="1123475117" name="Text Box 11" descr="Affin Bank Berha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a:off x="0" y="0"/>
                        <a:ext cx="925830" cy="179705"/>
                      </a:xfrm>
                      <a:prstGeom prst="rect">
                        <a:avLst/>
                      </a:prstGeom>
                      <a:noFill/>
                      <a:ln>
                        <a:noFill/>
                      </a:ln>
                    </wps:spPr>
                    <wps:txbx>
                      <w:txbxContent>
                        <w:p w14:paraId="527FA296" w14:textId="058D3A53" w:rsidR="00054124" w:rsidRPr="00054124" w:rsidRDefault="00054124" w:rsidP="00054124">
                          <w:pPr>
                            <w:spacing w:after="0"/>
                            <w:rPr>
                              <w:rFonts w:ascii="Calibri" w:eastAsia="Calibri" w:hAnsi="Calibri" w:cs="Calibri"/>
                              <w:noProof/>
                              <w:color w:val="0000FF"/>
                              <w:sz w:val="20"/>
                              <w:szCs w:val="20"/>
                              <w14:textFill>
                                <w14:solidFill>
                                  <w14:srgbClr w14:val="0000FF">
                                    <w14:alpha w14:val="50000"/>
                                  </w14:srgbClr>
                                </w14:solidFill>
                              </w14:textFill>
                            </w:rPr>
                          </w:pPr>
                          <w:r w:rsidRPr="00054124">
                            <w:rPr>
                              <w:rFonts w:ascii="Calibri" w:eastAsia="Calibri" w:hAnsi="Calibri" w:cs="Calibri"/>
                              <w:noProof/>
                              <w:color w:val="0000FF"/>
                              <w:sz w:val="20"/>
                              <w:szCs w:val="20"/>
                              <w14:textFill>
                                <w14:solidFill>
                                  <w14:srgbClr w14:val="0000FF">
                                    <w14:alpha w14:val="50000"/>
                                  </w14:srgbClr>
                                </w14:solidFill>
                              </w14:textFill>
                            </w:rPr>
                            <w:t>Affin Bank Berhad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5DC1B82" id="_x0000_t202" coordsize="21600,21600" o:spt="202" path="m,l,21600r21600,l21600,xe">
              <v:stroke joinstyle="miter"/>
              <v:path gradientshapeok="t" o:connecttype="rect"/>
            </v:shapetype>
            <v:shape id="Text Box 11" o:spid="_x0000_s1026" type="#_x0000_t202" alt="Affin Bank Berhad" style="position:absolute;margin-left:0;margin-top:0;width:72.9pt;height:14.15pt;z-index:-25164697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" filled="f" stroked="f">
              <v:textbox style="mso-fit-shape-to-text:t" inset="0,0,0,0">
                <w:txbxContent>
                  <w:p w14:paraId="527FA296" w14:textId="058D3A53" w:rsidR="00054124" w:rsidRPr="00054124" w:rsidRDefault="00054124" w:rsidP="00054124">
                    <w:pPr>
                      <w:spacing w:after="0"/>
                      <w:rPr>
                        <w:rFonts w:ascii="Calibri" w:eastAsia="Calibri" w:hAnsi="Calibri" w:cs="Calibri"/>
                        <w:noProof/>
                        <w:color w:val="0000FF"/>
                        <w:sz w:val="20"/>
                        <w:szCs w:val="20"/>
                        <w14:textFill>
                          <w14:solidFill>
                            <w14:srgbClr w14:val="0000FF">
                              <w14:alpha w14:val="50000"/>
                            </w14:srgbClr>
                          </w14:solidFill>
                        </w14:textFill>
                      </w:rPr>
                    </w:pPr>
                    <w:r w:rsidRPr="00054124">
                      <w:rPr>
                        <w:rFonts w:ascii="Calibri" w:eastAsia="Calibri" w:hAnsi="Calibri" w:cs="Calibri"/>
                        <w:noProof/>
                        <w:color w:val="0000FF"/>
                        <w:sz w:val="20"/>
                        <w:szCs w:val="20"/>
                        <w14:textFill>
                          <w14:solidFill>
                            <w14:srgbClr w14:val="0000FF">
                              <w14:alpha w14:val="50000"/>
                            </w14:srgbClr>
                          </w14:solidFill>
                        </w14:textFill>
                      </w:rPr>
                      <w:t>Affin Bank Berhad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37F8" w14:textId="515A91B4" w:rsidR="007D0691" w:rsidRDefault="00AF189B" w:rsidP="005A11A8">
    <w:pPr>
      <w:pStyle w:val="Header"/>
      <w:tabs>
        <w:tab w:val="clear" w:pos="4513"/>
        <w:tab w:val="clear" w:pos="9026"/>
        <w:tab w:val="left" w:pos="3570"/>
      </w:tabs>
    </w:pPr>
    <w:r>
      <w:rPr>
        <w:noProof/>
      </w:rPr>
      <mc:AlternateContent>
        <mc:Choice Requires="wps">
          <w:drawing>
            <wp:anchor distT="0" distB="0" distL="114300" distR="114300" simplePos="0" relativeHeight="251671552" behindDoc="0" locked="0" layoutInCell="1" allowOverlap="1" wp14:anchorId="1A9478E4" wp14:editId="30BEB4FA">
              <wp:simplePos x="0" y="0"/>
              <wp:positionH relativeFrom="column">
                <wp:posOffset>5837032</wp:posOffset>
              </wp:positionH>
              <wp:positionV relativeFrom="paragraph">
                <wp:posOffset>219785</wp:posOffset>
              </wp:positionV>
              <wp:extent cx="1374588" cy="292847"/>
              <wp:effectExtent l="0" t="0" r="16510" b="12065"/>
              <wp:wrapNone/>
              <wp:docPr id="2" name="Text Box 2"/>
              <wp:cNvGraphicFramePr/>
              <a:graphic xmlns:a="http://schemas.openxmlformats.org/drawingml/2006/main">
                <a:graphicData uri="http://schemas.microsoft.com/office/word/2010/wordprocessingShape">
                  <wps:wsp>
                    <wps:cNvSpPr txBox="1"/>
                    <wps:spPr>
                      <a:xfrm>
                        <a:off x="0" y="0"/>
                        <a:ext cx="1374588" cy="292847"/>
                      </a:xfrm>
                      <a:prstGeom prst="rect">
                        <a:avLst/>
                      </a:prstGeom>
                      <a:solidFill>
                        <a:srgbClr val="0064C8"/>
                      </a:solidFill>
                      <a:ln w="6350">
                        <a:solidFill>
                          <a:prstClr val="black"/>
                        </a:solidFill>
                      </a:ln>
                    </wps:spPr>
                    <wps:txbx>
                      <w:txbxContent>
                        <w:p w14:paraId="10AC20E2" w14:textId="76A81187" w:rsidR="00AF189B" w:rsidRPr="00AF189B" w:rsidRDefault="00C8750A">
                          <w:pPr>
                            <w:rPr>
                              <w:color w:val="FFFFFF" w:themeColor="background1"/>
                            </w:rPr>
                          </w:pPr>
                          <w:r>
                            <w:rPr>
                              <w:color w:val="FFFFFF" w:themeColor="background1"/>
                            </w:rPr>
                            <w:t>JUL</w:t>
                          </w:r>
                          <w:r w:rsidR="00AF189B" w:rsidRPr="00AF189B">
                            <w:rPr>
                              <w:color w:val="FFFFFF" w:themeColor="background1"/>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9478E4" id="_x0000_t202" coordsize="21600,21600" o:spt="202" path="m,l,21600r21600,l21600,xe">
              <v:stroke joinstyle="miter"/>
              <v:path gradientshapeok="t" o:connecttype="rect"/>
            </v:shapetype>
            <v:shape id="Text Box 2" o:spid="_x0000_s1027" type="#_x0000_t202" style="position:absolute;margin-left:459.6pt;margin-top:17.3pt;width:108.25pt;height:2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" fillcolor="#0064c8" strokeweight=".5pt">
              <v:textbox>
                <w:txbxContent>
                  <w:p w14:paraId="10AC20E2" w14:textId="76A81187" w:rsidR="00AF189B" w:rsidRPr="00AF189B" w:rsidRDefault="00C8750A">
                    <w:pPr>
                      <w:rPr>
                        <w:color w:val="FFFFFF" w:themeColor="background1"/>
                      </w:rPr>
                    </w:pPr>
                    <w:r>
                      <w:rPr>
                        <w:color w:val="FFFFFF" w:themeColor="background1"/>
                      </w:rPr>
                      <w:t>JUL</w:t>
                    </w:r>
                    <w:r w:rsidR="00AF189B" w:rsidRPr="00AF189B">
                      <w:rPr>
                        <w:color w:val="FFFFFF" w:themeColor="background1"/>
                      </w:rPr>
                      <w:t xml:space="preserve"> 2026</w:t>
                    </w:r>
                  </w:p>
                </w:txbxContent>
              </v:textbox>
            </v:shape>
          </w:pict>
        </mc:Fallback>
      </mc:AlternateContent>
    </w:r>
    <w:r w:rsidR="00A205E5">
      <w:rPr>
        <w:noProof/>
      </w:rPr>
      <w:drawing>
        <wp:anchor distT="0" distB="0" distL="114300" distR="114300" simplePos="0" relativeHeight="251658240" behindDoc="1" locked="0" layoutInCell="1" allowOverlap="1" wp14:anchorId="02176A5A" wp14:editId="45F96288">
          <wp:simplePos x="0" y="0"/>
          <wp:positionH relativeFrom="column">
            <wp:posOffset>-481965</wp:posOffset>
          </wp:positionH>
          <wp:positionV relativeFrom="paragraph">
            <wp:posOffset>-433819</wp:posOffset>
          </wp:positionV>
          <wp:extent cx="7597140" cy="10737617"/>
          <wp:effectExtent l="0" t="0" r="3810" b="6985"/>
          <wp:wrapNone/>
          <wp:docPr id="38541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1682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97140" cy="10737617"/>
                  </a:xfrm>
                  <a:prstGeom prst="rect">
                    <a:avLst/>
                  </a:prstGeom>
                </pic:spPr>
              </pic:pic>
            </a:graphicData>
          </a:graphic>
          <wp14:sizeRelH relativeFrom="page">
            <wp14:pctWidth>0</wp14:pctWidth>
          </wp14:sizeRelH>
          <wp14:sizeRelV relativeFrom="page">
            <wp14:pctHeight>0</wp14:pctHeight>
          </wp14:sizeRelV>
        </wp:anchor>
      </w:drawing>
    </w:r>
    <w:r w:rsidR="00054124">
      <w:rPr>
        <w:noProof/>
      </w:rPr>
      <mc:AlternateContent>
        <mc:Choice Requires="wps">
          <w:drawing>
            <wp:anchor distT="0" distB="0" distL="114300" distR="114300" simplePos="0" relativeHeight="251670528" behindDoc="1" locked="0" layoutInCell="1" allowOverlap="1" wp14:anchorId="2ED5A6BE" wp14:editId="5C3B289E">
              <wp:simplePos x="0" y="0"/>
              <wp:positionH relativeFrom="margin">
                <wp:align>center</wp:align>
              </wp:positionH>
              <wp:positionV relativeFrom="margin">
                <wp:align>center</wp:align>
              </wp:positionV>
              <wp:extent cx="925830" cy="179705"/>
              <wp:effectExtent l="0" t="0" r="1270" b="10795"/>
              <wp:wrapNone/>
              <wp:docPr id="745272479" name="Text Box 12" descr="Affin Bank Berha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a:off x="0" y="0"/>
                        <a:ext cx="925830" cy="179705"/>
                      </a:xfrm>
                      <a:prstGeom prst="rect">
                        <a:avLst/>
                      </a:prstGeom>
                      <a:noFill/>
                      <a:ln>
                        <a:noFill/>
                      </a:ln>
                    </wps:spPr>
                    <wps:txbx>
                      <w:txbxContent>
                        <w:p w14:paraId="72EFBAE4" w14:textId="71E1AFB1" w:rsidR="00054124" w:rsidRPr="00054124" w:rsidRDefault="00054124" w:rsidP="00054124">
                          <w:pPr>
                            <w:spacing w:after="0"/>
                            <w:rPr>
                              <w:rFonts w:ascii="Calibri" w:eastAsia="Calibri" w:hAnsi="Calibri" w:cs="Calibri"/>
                              <w:noProof/>
                              <w:color w:val="0000FF"/>
                              <w:sz w:val="20"/>
                              <w:szCs w:val="20"/>
                              <w14:textFill>
                                <w14:solidFill>
                                  <w14:srgbClr w14:val="0000FF">
                                    <w14:alpha w14:val="50000"/>
                                  </w14:srgbClr>
                                </w14:solidFill>
                              </w14:textFill>
                            </w:rPr>
                          </w:pPr>
                          <w:r w:rsidRPr="00054124">
                            <w:rPr>
                              <w:rFonts w:ascii="Calibri" w:eastAsia="Calibri" w:hAnsi="Calibri" w:cs="Calibri"/>
                              <w:noProof/>
                              <w:color w:val="0000FF"/>
                              <w:sz w:val="20"/>
                              <w:szCs w:val="20"/>
                              <w14:textFill>
                                <w14:solidFill>
                                  <w14:srgbClr w14:val="0000FF">
                                    <w14:alpha w14:val="50000"/>
                                  </w14:srgbClr>
                                </w14:solidFill>
                              </w14:textFill>
                            </w:rPr>
                            <w:t>Affin Bank Berhad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2ED5A6BE" id="Text Box 12" o:spid="_x0000_s1028" type="#_x0000_t202" alt="Affin Bank Berhad" style="position:absolute;margin-left:0;margin-top:0;width:72.9pt;height:14.15pt;z-index:-25164595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" filled="f" stroked="f">
              <v:textbox style="mso-fit-shape-to-text:t" inset="0,0,0,0">
                <w:txbxContent>
                  <w:p w14:paraId="72EFBAE4" w14:textId="71E1AFB1" w:rsidR="00054124" w:rsidRPr="00054124" w:rsidRDefault="00054124" w:rsidP="00054124">
                    <w:pPr>
                      <w:spacing w:after="0"/>
                      <w:rPr>
                        <w:rFonts w:ascii="Calibri" w:eastAsia="Calibri" w:hAnsi="Calibri" w:cs="Calibri"/>
                        <w:noProof/>
                        <w:color w:val="0000FF"/>
                        <w:sz w:val="20"/>
                        <w:szCs w:val="20"/>
                        <w14:textFill>
                          <w14:solidFill>
                            <w14:srgbClr w14:val="0000FF">
                              <w14:alpha w14:val="50000"/>
                            </w14:srgbClr>
                          </w14:solidFill>
                        </w14:textFill>
                      </w:rPr>
                    </w:pPr>
                    <w:r w:rsidRPr="00054124">
                      <w:rPr>
                        <w:rFonts w:ascii="Calibri" w:eastAsia="Calibri" w:hAnsi="Calibri" w:cs="Calibri"/>
                        <w:noProof/>
                        <w:color w:val="0000FF"/>
                        <w:sz w:val="20"/>
                        <w:szCs w:val="20"/>
                        <w14:textFill>
                          <w14:solidFill>
                            <w14:srgbClr w14:val="0000FF">
                              <w14:alpha w14:val="50000"/>
                            </w14:srgbClr>
                          </w14:solidFill>
                        </w14:textFill>
                      </w:rPr>
                      <w:t>Affin Bank Berhad</w:t>
                    </w:r>
                  </w:p>
                </w:txbxContent>
              </v:textbox>
              <w10:wrap anchorx="margin" anchory="margin"/>
            </v:shape>
          </w:pict>
        </mc:Fallback>
      </mc:AlternateContent>
    </w:r>
    <w:r w:rsidR="005A11A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E531" w14:textId="7E191AE9" w:rsidR="007D0691" w:rsidRDefault="00054124">
    <w:pPr>
      <w:pStyle w:val="Header"/>
    </w:pPr>
    <w:r>
      <w:rPr>
        <w:noProof/>
      </w:rPr>
      <mc:AlternateContent>
        <mc:Choice Requires="wps">
          <w:drawing>
            <wp:anchor distT="0" distB="0" distL="114300" distR="114300" simplePos="0" relativeHeight="251668480" behindDoc="1" locked="0" layoutInCell="1" allowOverlap="1" wp14:anchorId="242A5774" wp14:editId="63023B66">
              <wp:simplePos x="635" y="635"/>
              <wp:positionH relativeFrom="margin">
                <wp:align>center</wp:align>
              </wp:positionH>
              <wp:positionV relativeFrom="margin">
                <wp:align>center</wp:align>
              </wp:positionV>
              <wp:extent cx="925830" cy="179705"/>
              <wp:effectExtent l="0" t="0" r="1270" b="10795"/>
              <wp:wrapNone/>
              <wp:docPr id="565867332" name="Text Box 10" descr="Affin Bank Berhad">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a:off x="0" y="0"/>
                        <a:ext cx="925830" cy="179705"/>
                      </a:xfrm>
                      <a:prstGeom prst="rect">
                        <a:avLst/>
                      </a:prstGeom>
                      <a:noFill/>
                      <a:ln>
                        <a:noFill/>
                      </a:ln>
                    </wps:spPr>
                    <wps:txbx>
                      <w:txbxContent>
                        <w:p w14:paraId="00BFC000" w14:textId="57356F21" w:rsidR="00054124" w:rsidRPr="00054124" w:rsidRDefault="00054124" w:rsidP="00054124">
                          <w:pPr>
                            <w:spacing w:after="0"/>
                            <w:rPr>
                              <w:rFonts w:ascii="Calibri" w:eastAsia="Calibri" w:hAnsi="Calibri" w:cs="Calibri"/>
                              <w:noProof/>
                              <w:color w:val="0000FF"/>
                              <w:sz w:val="20"/>
                              <w:szCs w:val="20"/>
                              <w14:textFill>
                                <w14:solidFill>
                                  <w14:srgbClr w14:val="0000FF">
                                    <w14:alpha w14:val="50000"/>
                                  </w14:srgbClr>
                                </w14:solidFill>
                              </w14:textFill>
                            </w:rPr>
                          </w:pPr>
                          <w:r w:rsidRPr="00054124">
                            <w:rPr>
                              <w:rFonts w:ascii="Calibri" w:eastAsia="Calibri" w:hAnsi="Calibri" w:cs="Calibri"/>
                              <w:noProof/>
                              <w:color w:val="0000FF"/>
                              <w:sz w:val="20"/>
                              <w:szCs w:val="20"/>
                              <w14:textFill>
                                <w14:solidFill>
                                  <w14:srgbClr w14:val="0000FF">
                                    <w14:alpha w14:val="50000"/>
                                  </w14:srgbClr>
                                </w14:solidFill>
                              </w14:textFill>
                            </w:rPr>
                            <w:t>Affin Bank Berhad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42A5774" id="_x0000_t202" coordsize="21600,21600" o:spt="202" path="m,l,21600r21600,l21600,xe">
              <v:stroke joinstyle="miter"/>
              <v:path gradientshapeok="t" o:connecttype="rect"/>
            </v:shapetype>
            <v:shape id="Text Box 10" o:spid="_x0000_s1030" type="#_x0000_t202" alt="Affin Bank Berhad" style="position:absolute;margin-left:0;margin-top:0;width:72.9pt;height:14.15pt;z-index:-25164800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" filled="f" stroked="f">
              <v:textbox style="mso-fit-shape-to-text:t" inset="0,0,0,0">
                <w:txbxContent>
                  <w:p w14:paraId="00BFC000" w14:textId="57356F21" w:rsidR="00054124" w:rsidRPr="00054124" w:rsidRDefault="00054124" w:rsidP="00054124">
                    <w:pPr>
                      <w:spacing w:after="0"/>
                      <w:rPr>
                        <w:rFonts w:ascii="Calibri" w:eastAsia="Calibri" w:hAnsi="Calibri" w:cs="Calibri"/>
                        <w:noProof/>
                        <w:color w:val="0000FF"/>
                        <w:sz w:val="20"/>
                        <w:szCs w:val="20"/>
                        <w14:textFill>
                          <w14:solidFill>
                            <w14:srgbClr w14:val="0000FF">
                              <w14:alpha w14:val="50000"/>
                            </w14:srgbClr>
                          </w14:solidFill>
                        </w14:textFill>
                      </w:rPr>
                    </w:pPr>
                    <w:r w:rsidRPr="00054124">
                      <w:rPr>
                        <w:rFonts w:ascii="Calibri" w:eastAsia="Calibri" w:hAnsi="Calibri" w:cs="Calibri"/>
                        <w:noProof/>
                        <w:color w:val="0000FF"/>
                        <w:sz w:val="20"/>
                        <w:szCs w:val="20"/>
                        <w14:textFill>
                          <w14:solidFill>
                            <w14:srgbClr w14:val="0000FF">
                              <w14:alpha w14:val="50000"/>
                            </w14:srgbClr>
                          </w14:solidFill>
                        </w14:textFill>
                      </w:rPr>
                      <w:t>Affin Bank Berhad</w:t>
                    </w:r>
                  </w:p>
                </w:txbxContent>
              </v:textbox>
              <w10:wrap anchorx="margin"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91"/>
    <w:rsid w:val="00054124"/>
    <w:rsid w:val="000F4CE5"/>
    <w:rsid w:val="0013222A"/>
    <w:rsid w:val="00185B6B"/>
    <w:rsid w:val="001A0B61"/>
    <w:rsid w:val="001D0621"/>
    <w:rsid w:val="003A3812"/>
    <w:rsid w:val="003D07D7"/>
    <w:rsid w:val="00447D3C"/>
    <w:rsid w:val="0045127C"/>
    <w:rsid w:val="004A5180"/>
    <w:rsid w:val="004F664C"/>
    <w:rsid w:val="00501166"/>
    <w:rsid w:val="00505595"/>
    <w:rsid w:val="00571337"/>
    <w:rsid w:val="005A11A8"/>
    <w:rsid w:val="006B54F9"/>
    <w:rsid w:val="00750845"/>
    <w:rsid w:val="007D0691"/>
    <w:rsid w:val="008248C2"/>
    <w:rsid w:val="008A31D1"/>
    <w:rsid w:val="008B2A42"/>
    <w:rsid w:val="009C150A"/>
    <w:rsid w:val="00A17CAB"/>
    <w:rsid w:val="00A205E5"/>
    <w:rsid w:val="00AD5010"/>
    <w:rsid w:val="00AF0F4A"/>
    <w:rsid w:val="00AF189B"/>
    <w:rsid w:val="00B378FA"/>
    <w:rsid w:val="00BD10C9"/>
    <w:rsid w:val="00BE3299"/>
    <w:rsid w:val="00C8750A"/>
    <w:rsid w:val="00CB6B4A"/>
    <w:rsid w:val="00D17FC3"/>
    <w:rsid w:val="00D72F21"/>
    <w:rsid w:val="00DB6E31"/>
    <w:rsid w:val="00DC69F5"/>
    <w:rsid w:val="00E150A6"/>
    <w:rsid w:val="00E339C0"/>
    <w:rsid w:val="00EA5300"/>
    <w:rsid w:val="00EE7C1B"/>
    <w:rsid w:val="00F05AC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C5646"/>
  <w15:chartTrackingRefBased/>
  <w15:docId w15:val="{624BF844-EC90-C243-BF4C-54C8C8D4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691"/>
    <w:rPr>
      <w:rFonts w:eastAsiaTheme="majorEastAsia" w:cstheme="majorBidi"/>
      <w:color w:val="272727" w:themeColor="text1" w:themeTint="D8"/>
    </w:rPr>
  </w:style>
  <w:style w:type="paragraph" w:styleId="Title">
    <w:name w:val="Title"/>
    <w:basedOn w:val="Normal"/>
    <w:next w:val="Normal"/>
    <w:link w:val="TitleChar"/>
    <w:uiPriority w:val="10"/>
    <w:qFormat/>
    <w:rsid w:val="007D0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691"/>
    <w:pPr>
      <w:spacing w:before="160"/>
      <w:jc w:val="center"/>
    </w:pPr>
    <w:rPr>
      <w:i/>
      <w:iCs/>
      <w:color w:val="404040" w:themeColor="text1" w:themeTint="BF"/>
    </w:rPr>
  </w:style>
  <w:style w:type="character" w:customStyle="1" w:styleId="QuoteChar">
    <w:name w:val="Quote Char"/>
    <w:basedOn w:val="DefaultParagraphFont"/>
    <w:link w:val="Quote"/>
    <w:uiPriority w:val="29"/>
    <w:rsid w:val="007D0691"/>
    <w:rPr>
      <w:i/>
      <w:iCs/>
      <w:color w:val="404040" w:themeColor="text1" w:themeTint="BF"/>
    </w:rPr>
  </w:style>
  <w:style w:type="paragraph" w:styleId="ListParagraph">
    <w:name w:val="List Paragraph"/>
    <w:basedOn w:val="Normal"/>
    <w:uiPriority w:val="34"/>
    <w:qFormat/>
    <w:rsid w:val="007D0691"/>
    <w:pPr>
      <w:ind w:left="720"/>
      <w:contextualSpacing/>
    </w:pPr>
  </w:style>
  <w:style w:type="character" w:styleId="IntenseEmphasis">
    <w:name w:val="Intense Emphasis"/>
    <w:basedOn w:val="DefaultParagraphFont"/>
    <w:uiPriority w:val="21"/>
    <w:qFormat/>
    <w:rsid w:val="007D0691"/>
    <w:rPr>
      <w:i/>
      <w:iCs/>
      <w:color w:val="0F4761" w:themeColor="accent1" w:themeShade="BF"/>
    </w:rPr>
  </w:style>
  <w:style w:type="paragraph" w:styleId="IntenseQuote">
    <w:name w:val="Intense Quote"/>
    <w:basedOn w:val="Normal"/>
    <w:next w:val="Normal"/>
    <w:link w:val="IntenseQuoteChar"/>
    <w:uiPriority w:val="30"/>
    <w:qFormat/>
    <w:rsid w:val="007D0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691"/>
    <w:rPr>
      <w:i/>
      <w:iCs/>
      <w:color w:val="0F4761" w:themeColor="accent1" w:themeShade="BF"/>
    </w:rPr>
  </w:style>
  <w:style w:type="character" w:styleId="IntenseReference">
    <w:name w:val="Intense Reference"/>
    <w:basedOn w:val="DefaultParagraphFont"/>
    <w:uiPriority w:val="32"/>
    <w:qFormat/>
    <w:rsid w:val="007D0691"/>
    <w:rPr>
      <w:b/>
      <w:bCs/>
      <w:smallCaps/>
      <w:color w:val="0F4761" w:themeColor="accent1" w:themeShade="BF"/>
      <w:spacing w:val="5"/>
    </w:rPr>
  </w:style>
  <w:style w:type="paragraph" w:styleId="Header">
    <w:name w:val="header"/>
    <w:basedOn w:val="Normal"/>
    <w:link w:val="HeaderChar"/>
    <w:uiPriority w:val="99"/>
    <w:unhideWhenUsed/>
    <w:rsid w:val="007D06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691"/>
  </w:style>
  <w:style w:type="paragraph" w:styleId="Footer">
    <w:name w:val="footer"/>
    <w:basedOn w:val="Normal"/>
    <w:link w:val="FooterChar"/>
    <w:uiPriority w:val="99"/>
    <w:unhideWhenUsed/>
    <w:rsid w:val="007D06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691"/>
  </w:style>
  <w:style w:type="table" w:styleId="TableGrid">
    <w:name w:val="Table Grid"/>
    <w:basedOn w:val="TableNormal"/>
    <w:uiPriority w:val="39"/>
    <w:rsid w:val="004A5180"/>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7D6D255F8A1478C0DC581F18F7803" ma:contentTypeVersion="16" ma:contentTypeDescription="Create a new document." ma:contentTypeScope="" ma:versionID="c79db3413e774a4b8827e54f822eaa35">
  <xsd:schema xmlns:xsd="http://www.w3.org/2001/XMLSchema" xmlns:xs="http://www.w3.org/2001/XMLSchema" xmlns:p="http://schemas.microsoft.com/office/2006/metadata/properties" xmlns:ns1="http://schemas.microsoft.com/sharepoint/v3" xmlns:ns2="05956d7b-9cd5-4b44-b942-3bcd618761c8" xmlns:ns3="8ae37a78-37e0-4d99-b0cd-bb70e3020649" targetNamespace="http://schemas.microsoft.com/office/2006/metadata/properties" ma:root="true" ma:fieldsID="5d37f4f1dae6f36dcef3af229b1116db" ns1:_="" ns2:_="" ns3:_="">
    <xsd:import namespace="http://schemas.microsoft.com/sharepoint/v3"/>
    <xsd:import namespace="05956d7b-9cd5-4b44-b942-3bcd618761c8"/>
    <xsd:import namespace="8ae37a78-37e0-4d99-b0cd-bb70e302064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956d7b-9cd5-4b44-b942-3bcd618761c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cdc7072-3342-4ea0-bbd4-336c7ff8009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e37a78-37e0-4d99-b0cd-bb70e302064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830aada-a456-47a3-8d45-62af3d780b88}" ma:internalName="TaxCatchAll" ma:showField="CatchAllData" ma:web="8ae37a78-37e0-4d99-b0cd-bb70e30206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ae37a78-37e0-4d99-b0cd-bb70e3020649" xsi:nil="true"/>
    <_ip_UnifiedCompliancePolicyProperties xmlns="http://schemas.microsoft.com/sharepoint/v3" xsi:nil="true"/>
    <lcf76f155ced4ddcb4097134ff3c332f xmlns="05956d7b-9cd5-4b44-b942-3bcd618761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37BE24-C5F4-4F81-8C73-F02B59546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956d7b-9cd5-4b44-b942-3bcd618761c8"/>
    <ds:schemaRef ds:uri="8ae37a78-37e0-4d99-b0cd-bb70e30206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E2CA9-08BC-4C23-AC3B-D6F1F105A8B1}">
  <ds:schemaRefs>
    <ds:schemaRef ds:uri="http://schemas.microsoft.com/sharepoint/v3/contenttype/forms"/>
  </ds:schemaRefs>
</ds:datastoreItem>
</file>

<file path=customXml/itemProps3.xml><?xml version="1.0" encoding="utf-8"?>
<ds:datastoreItem xmlns:ds="http://schemas.openxmlformats.org/officeDocument/2006/customXml" ds:itemID="{1EAB21A5-D930-4383-9A1D-CBBA6900A142}">
  <ds:schemaRefs>
    <ds:schemaRef ds:uri="http://schemas.microsoft.com/office/2006/metadata/properties"/>
    <ds:schemaRef ds:uri="http://schemas.microsoft.com/office/infopath/2007/PartnerControls"/>
    <ds:schemaRef ds:uri="http://schemas.microsoft.com/sharepoint/v3"/>
    <ds:schemaRef ds:uri="8ae37a78-37e0-4d99-b0cd-bb70e3020649"/>
    <ds:schemaRef ds:uri="05956d7b-9cd5-4b44-b942-3bcd618761c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12861</Words>
  <Characters>73314</Characters>
  <Application>Microsoft Office Word</Application>
  <DocSecurity>0</DocSecurity>
  <Lines>610</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Liou Yik Han</dc:creator>
  <cp:keywords/>
  <dc:description/>
  <cp:lastModifiedBy>Amzaraed Bin Rasdi</cp:lastModifiedBy>
  <cp:revision>3</cp:revision>
  <dcterms:created xsi:type="dcterms:W3CDTF">2026-09-17T06:59:00Z</dcterms:created>
  <dcterms:modified xsi:type="dcterms:W3CDTF">2026-09-17T10:56:00Z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6b9740b9,7710f24b,5839fc9b,59094fb4</vt:lpwstr>
  </property>
  <property fmtid="{D5CDD505-2E9C-101B-9397-08002B2CF9AE}" pid="3" name="ClassificationContentMarkingFooterFontProps">
    <vt:lpwstr>#000000,12,Calibri</vt:lpwstr>
  </property>
  <property fmtid="{D5CDD505-2E9C-101B-9397-08002B2CF9AE}" pid="4" name="ClassificationContentMarkingFooterText">
    <vt:lpwstr>Confidential [  ], Internal/Private [   ], Public [ X ]</vt:lpwstr>
  </property>
  <property fmtid="{D5CDD505-2E9C-101B-9397-08002B2CF9AE}" pid="5" name="ClassificationWatermarkShapeIds">
    <vt:lpwstr>21ba7344,42f6dead,2c6bf49f</vt:lpwstr>
  </property>
  <property fmtid="{D5CDD505-2E9C-101B-9397-08002B2CF9AE}" pid="6" name="ClassificationWatermarkFontProps">
    <vt:lpwstr>#0000ff,10,Calibri</vt:lpwstr>
  </property>
  <property fmtid="{D5CDD505-2E9C-101B-9397-08002B2CF9AE}" pid="7" name="ClassificationWatermarkText">
    <vt:lpwstr>Affin Bank Berhad</vt:lpwstr>
  </property>
  <property fmtid="{D5CDD505-2E9C-101B-9397-08002B2CF9AE}" pid="8" name="MSIP_Label_c7b7b51c-9b5d-4da4-8c20-1f56d38770f7_Enabled">
    <vt:lpwstr>true</vt:lpwstr>
  </property>
  <property fmtid="{D5CDD505-2E9C-101B-9397-08002B2CF9AE}" pid="9" name="MSIP_Label_c7b7b51c-9b5d-4da4-8c20-1f56d38770f7_SetDate">
    <vt:lpwstr>2025-07-01T07:15:57Z</vt:lpwstr>
  </property>
  <property fmtid="{D5CDD505-2E9C-101B-9397-08002B2CF9AE}" pid="10" name="MSIP_Label_c7b7b51c-9b5d-4da4-8c20-1f56d38770f7_Method">
    <vt:lpwstr>Privileged</vt:lpwstr>
  </property>
  <property fmtid="{D5CDD505-2E9C-101B-9397-08002B2CF9AE}" pid="11" name="MSIP_Label_c7b7b51c-9b5d-4da4-8c20-1f56d38770f7_Name">
    <vt:lpwstr>Public</vt:lpwstr>
  </property>
  <property fmtid="{D5CDD505-2E9C-101B-9397-08002B2CF9AE}" pid="12" name="MSIP_Label_c7b7b51c-9b5d-4da4-8c20-1f56d38770f7_SiteId">
    <vt:lpwstr>7d41eb5a-7849-48b2-a81f-7e7e50867518</vt:lpwstr>
  </property>
  <property fmtid="{D5CDD505-2E9C-101B-9397-08002B2CF9AE}" pid="13" name="MSIP_Label_c7b7b51c-9b5d-4da4-8c20-1f56d38770f7_ActionId">
    <vt:lpwstr>14803053-8107-4385-ab3a-4a8755722f11</vt:lpwstr>
  </property>
  <property fmtid="{D5CDD505-2E9C-101B-9397-08002B2CF9AE}" pid="14" name="MSIP_Label_c7b7b51c-9b5d-4da4-8c20-1f56d38770f7_ContentBits">
    <vt:lpwstr>6</vt:lpwstr>
  </property>
  <property fmtid="{D5CDD505-2E9C-101B-9397-08002B2CF9AE}" pid="15" name="MSIP_Label_c7b7b51c-9b5d-4da4-8c20-1f56d38770f7_Tag">
    <vt:lpwstr>50, 0, 1, 1</vt:lpwstr>
  </property>
  <property fmtid="{D5CDD505-2E9C-101B-9397-08002B2CF9AE}" pid="16" name="ContentTypeId">
    <vt:lpwstr>0x0101001CF7D6D255F8A1478C0DC581F18F7803</vt:lpwstr>
  </property>
</Properties>
</file>